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5BA6" w14:textId="77777777" w:rsidR="007B1E9C" w:rsidRPr="00BF674F" w:rsidRDefault="007B1E9C" w:rsidP="0067768C">
      <w:pPr>
        <w:spacing w:line="360" w:lineRule="atLeast"/>
        <w:jc w:val="center"/>
        <w:rPr>
          <w:b/>
          <w:sz w:val="28"/>
          <w:szCs w:val="28"/>
          <w:lang w:val="el-GR"/>
        </w:rPr>
      </w:pPr>
      <w:r w:rsidRPr="00BF674F">
        <w:rPr>
          <w:b/>
          <w:sz w:val="28"/>
          <w:szCs w:val="28"/>
          <w:lang w:val="el-GR"/>
        </w:rPr>
        <w:t xml:space="preserve">ΑΠΟΦΑΣΕΙΣ ΣΥΝΤΟΝΙΣΤΙΚΗΣ ΕΠΙΤΡΟΠΗΣ ΔΙΚΗΓΟΡΙΚΩΝ ΣΥΛΛΟΓΩΝ ΕΛΛΑΔΟΣ </w:t>
      </w:r>
    </w:p>
    <w:p w14:paraId="782338DA" w14:textId="629C7016" w:rsidR="008C56DB" w:rsidRPr="00BF674F" w:rsidRDefault="007B1E9C" w:rsidP="0067768C">
      <w:pPr>
        <w:spacing w:line="360" w:lineRule="atLeast"/>
        <w:jc w:val="center"/>
        <w:rPr>
          <w:b/>
          <w:sz w:val="28"/>
          <w:szCs w:val="28"/>
          <w:lang w:val="el-GR"/>
        </w:rPr>
      </w:pPr>
      <w:r w:rsidRPr="00BF674F">
        <w:rPr>
          <w:b/>
          <w:sz w:val="28"/>
          <w:szCs w:val="28"/>
          <w:lang w:val="el-GR"/>
        </w:rPr>
        <w:t>ΓΙΑ ΑΣΦΑΛΙΣΤΙΚΑ ΘΕΜΑΤΑ</w:t>
      </w:r>
    </w:p>
    <w:p w14:paraId="5CEEFEFE" w14:textId="6E5E6AB3" w:rsidR="008C56DB" w:rsidRPr="00BF674F" w:rsidRDefault="008C56DB" w:rsidP="0067768C">
      <w:pPr>
        <w:spacing w:line="360" w:lineRule="atLeast"/>
        <w:jc w:val="both"/>
        <w:rPr>
          <w:sz w:val="28"/>
          <w:szCs w:val="28"/>
          <w:lang w:val="el-GR"/>
        </w:rPr>
      </w:pPr>
    </w:p>
    <w:p w14:paraId="57B9350E" w14:textId="4B86F2FB" w:rsidR="008C56DB" w:rsidRPr="00BF674F" w:rsidRDefault="003011E1" w:rsidP="0067768C">
      <w:pPr>
        <w:spacing w:line="360" w:lineRule="atLeast"/>
        <w:jc w:val="both"/>
        <w:rPr>
          <w:sz w:val="28"/>
          <w:szCs w:val="28"/>
          <w:lang w:val="el-GR"/>
        </w:rPr>
      </w:pPr>
      <w:r w:rsidRPr="00BF674F">
        <w:rPr>
          <w:sz w:val="28"/>
          <w:szCs w:val="28"/>
          <w:lang w:val="el-GR"/>
        </w:rPr>
        <w:t>H  Συντονιστική  Επιτροπή των Δικηγορικών Συλλόγων Ελλάδος</w:t>
      </w:r>
      <w:r w:rsidR="007B1E9C" w:rsidRPr="00BF674F">
        <w:rPr>
          <w:sz w:val="28"/>
          <w:szCs w:val="28"/>
          <w:lang w:val="el-GR"/>
        </w:rPr>
        <w:t xml:space="preserve">, κατά τη σημερινή της συνεδρίαση, στην Αθήνα, υπό την προεδρία του Προέδρου της , </w:t>
      </w:r>
      <w:r w:rsidR="007B1E9C" w:rsidRPr="00BF674F">
        <w:rPr>
          <w:b/>
          <w:sz w:val="28"/>
          <w:szCs w:val="28"/>
          <w:lang w:val="el-GR"/>
        </w:rPr>
        <w:t xml:space="preserve">Δημητρίου </w:t>
      </w:r>
      <w:proofErr w:type="spellStart"/>
      <w:r w:rsidR="007B1E9C" w:rsidRPr="00BF674F">
        <w:rPr>
          <w:b/>
          <w:sz w:val="28"/>
          <w:szCs w:val="28"/>
          <w:lang w:val="el-GR"/>
        </w:rPr>
        <w:t>Βερβεσού</w:t>
      </w:r>
      <w:proofErr w:type="spellEnd"/>
      <w:r w:rsidR="007B1E9C" w:rsidRPr="00BF674F">
        <w:rPr>
          <w:sz w:val="28"/>
          <w:szCs w:val="28"/>
          <w:lang w:val="el-GR"/>
        </w:rPr>
        <w:t>,</w:t>
      </w:r>
      <w:r w:rsidRPr="00BF674F">
        <w:rPr>
          <w:sz w:val="28"/>
          <w:szCs w:val="28"/>
          <w:lang w:val="el-GR"/>
        </w:rPr>
        <w:t xml:space="preserve"> συζήτησε</w:t>
      </w:r>
      <w:r w:rsidR="007B1E9C" w:rsidRPr="00BF674F">
        <w:rPr>
          <w:sz w:val="28"/>
          <w:szCs w:val="28"/>
          <w:lang w:val="el-GR"/>
        </w:rPr>
        <w:t xml:space="preserve"> διεξοδικά</w:t>
      </w:r>
      <w:r w:rsidRPr="00BF674F">
        <w:rPr>
          <w:sz w:val="28"/>
          <w:szCs w:val="28"/>
          <w:lang w:val="el-GR"/>
        </w:rPr>
        <w:t xml:space="preserve"> τα θέματα που έχουν ανακύψει </w:t>
      </w:r>
      <w:r w:rsidR="007B1E9C" w:rsidRPr="00BF674F">
        <w:rPr>
          <w:sz w:val="28"/>
          <w:szCs w:val="28"/>
          <w:lang w:val="el-GR"/>
        </w:rPr>
        <w:t xml:space="preserve"> αφ’ ενός </w:t>
      </w:r>
      <w:r w:rsidRPr="00BF674F">
        <w:rPr>
          <w:sz w:val="28"/>
          <w:szCs w:val="28"/>
          <w:lang w:val="el-GR"/>
        </w:rPr>
        <w:t xml:space="preserve">σχετικά με τις εισφορές μη μισθωτών του ΕΤΕΑΕΠ, που επιβάλλονται με καθυστέρηση 27 μηνών, </w:t>
      </w:r>
      <w:r w:rsidR="007B1E9C" w:rsidRPr="00BF674F">
        <w:rPr>
          <w:sz w:val="28"/>
          <w:szCs w:val="28"/>
          <w:lang w:val="el-GR"/>
        </w:rPr>
        <w:t>και αφ’ ετέρου</w:t>
      </w:r>
      <w:r w:rsidRPr="00BF674F">
        <w:rPr>
          <w:sz w:val="28"/>
          <w:szCs w:val="28"/>
          <w:lang w:val="el-GR"/>
        </w:rPr>
        <w:t xml:space="preserve"> με την αδικαιολόγητη απώλεια της ασφαλιστικής ικανότητα των συναδέλφων</w:t>
      </w:r>
      <w:r w:rsidR="007B1E9C" w:rsidRPr="00BF674F">
        <w:rPr>
          <w:sz w:val="28"/>
          <w:szCs w:val="28"/>
          <w:lang w:val="el-GR"/>
        </w:rPr>
        <w:t xml:space="preserve"> με ευθύνη του ΕΦΚΑ</w:t>
      </w:r>
      <w:r w:rsidRPr="00BF674F">
        <w:rPr>
          <w:sz w:val="28"/>
          <w:szCs w:val="28"/>
          <w:lang w:val="el-GR"/>
        </w:rPr>
        <w:t xml:space="preserve">. </w:t>
      </w:r>
    </w:p>
    <w:p w14:paraId="26D2D4C3" w14:textId="063144B3" w:rsidR="003011E1" w:rsidRPr="00BF674F" w:rsidRDefault="003011E1" w:rsidP="0067768C">
      <w:pPr>
        <w:spacing w:line="360" w:lineRule="atLeast"/>
        <w:jc w:val="both"/>
        <w:rPr>
          <w:sz w:val="28"/>
          <w:szCs w:val="28"/>
          <w:lang w:val="el-GR"/>
        </w:rPr>
      </w:pPr>
    </w:p>
    <w:p w14:paraId="4D6E6346" w14:textId="77777777" w:rsidR="003011E1" w:rsidRPr="00BF674F" w:rsidRDefault="003011E1" w:rsidP="0067768C">
      <w:pPr>
        <w:spacing w:line="360" w:lineRule="atLeast"/>
        <w:jc w:val="both"/>
        <w:rPr>
          <w:sz w:val="28"/>
          <w:szCs w:val="28"/>
          <w:lang w:val="el-GR"/>
        </w:rPr>
      </w:pPr>
      <w:r w:rsidRPr="00BF674F">
        <w:rPr>
          <w:sz w:val="28"/>
          <w:szCs w:val="28"/>
          <w:lang w:val="el-GR"/>
        </w:rPr>
        <w:t xml:space="preserve">H  Συντονιστική  Επιτροπή έλαβε </w:t>
      </w:r>
      <w:r w:rsidR="00A32B61" w:rsidRPr="00BF674F">
        <w:rPr>
          <w:sz w:val="28"/>
          <w:szCs w:val="28"/>
          <w:lang w:val="el-GR"/>
        </w:rPr>
        <w:t>υπόψη</w:t>
      </w:r>
      <w:r w:rsidRPr="00BF674F">
        <w:rPr>
          <w:sz w:val="28"/>
          <w:szCs w:val="28"/>
          <w:lang w:val="el-GR"/>
        </w:rPr>
        <w:t xml:space="preserve"> της</w:t>
      </w:r>
      <w:r w:rsidR="00A32B61" w:rsidRPr="00BF674F">
        <w:rPr>
          <w:sz w:val="28"/>
          <w:szCs w:val="28"/>
          <w:lang w:val="el-GR"/>
        </w:rPr>
        <w:t xml:space="preserve"> τη</w:t>
      </w:r>
      <w:r w:rsidR="002C407A" w:rsidRPr="00BF674F">
        <w:rPr>
          <w:sz w:val="28"/>
          <w:szCs w:val="28"/>
          <w:lang w:val="el-GR"/>
        </w:rPr>
        <w:t>ν</w:t>
      </w:r>
      <w:r w:rsidR="00A32B61" w:rsidRPr="00BF674F">
        <w:rPr>
          <w:sz w:val="28"/>
          <w:szCs w:val="28"/>
          <w:lang w:val="el-GR"/>
        </w:rPr>
        <w:t xml:space="preserve"> εισήγηση του</w:t>
      </w:r>
      <w:r w:rsidRPr="00BF674F">
        <w:rPr>
          <w:sz w:val="28"/>
          <w:szCs w:val="28"/>
          <w:lang w:val="el-GR"/>
        </w:rPr>
        <w:t xml:space="preserve"> </w:t>
      </w:r>
      <w:r w:rsidR="00A32B61" w:rsidRPr="00BF674F">
        <w:rPr>
          <w:sz w:val="28"/>
          <w:szCs w:val="28"/>
          <w:lang w:val="el-GR"/>
        </w:rPr>
        <w:t xml:space="preserve"> </w:t>
      </w:r>
      <w:r w:rsidRPr="00BF674F">
        <w:rPr>
          <w:sz w:val="28"/>
          <w:szCs w:val="28"/>
          <w:lang w:val="el-GR"/>
        </w:rPr>
        <w:t xml:space="preserve">Συμβούλου του ΔΣΑ, </w:t>
      </w:r>
      <w:r w:rsidR="00A32B61" w:rsidRPr="00BF674F">
        <w:rPr>
          <w:b/>
          <w:sz w:val="28"/>
          <w:szCs w:val="28"/>
          <w:lang w:val="el-GR"/>
        </w:rPr>
        <w:t xml:space="preserve">Ανδρέα </w:t>
      </w:r>
      <w:proofErr w:type="spellStart"/>
      <w:r w:rsidR="00A32B61" w:rsidRPr="00BF674F">
        <w:rPr>
          <w:b/>
          <w:sz w:val="28"/>
          <w:szCs w:val="28"/>
          <w:lang w:val="el-GR"/>
        </w:rPr>
        <w:t>Κουτσόλαμπρου</w:t>
      </w:r>
      <w:proofErr w:type="spellEnd"/>
      <w:r w:rsidR="00A32B61" w:rsidRPr="00BF674F">
        <w:rPr>
          <w:sz w:val="28"/>
          <w:szCs w:val="28"/>
          <w:lang w:val="el-GR"/>
        </w:rPr>
        <w:t xml:space="preserve">, </w:t>
      </w:r>
      <w:r w:rsidRPr="00BF674F">
        <w:rPr>
          <w:sz w:val="28"/>
          <w:szCs w:val="28"/>
          <w:lang w:val="el-GR"/>
        </w:rPr>
        <w:t xml:space="preserve">επί των θεμάτων αυτών, η οποία έχει ως εξής : </w:t>
      </w:r>
    </w:p>
    <w:p w14:paraId="0FD44F09" w14:textId="5EE8D3D3" w:rsidR="003011E1" w:rsidRPr="00BF674F" w:rsidRDefault="003011E1" w:rsidP="0067768C">
      <w:pPr>
        <w:spacing w:line="360" w:lineRule="atLeast"/>
        <w:jc w:val="both"/>
        <w:rPr>
          <w:sz w:val="28"/>
          <w:szCs w:val="28"/>
          <w:lang w:val="el-GR"/>
        </w:rPr>
      </w:pPr>
    </w:p>
    <w:p w14:paraId="25133167" w14:textId="662A7697" w:rsidR="003011E1" w:rsidRPr="00BF674F" w:rsidRDefault="007B1E9C" w:rsidP="0067768C">
      <w:pPr>
        <w:spacing w:line="360" w:lineRule="atLeast"/>
        <w:jc w:val="both"/>
        <w:rPr>
          <w:b/>
          <w:sz w:val="28"/>
          <w:szCs w:val="28"/>
          <w:u w:val="single"/>
          <w:lang w:val="el-GR"/>
        </w:rPr>
      </w:pPr>
      <w:r w:rsidRPr="00BF674F">
        <w:rPr>
          <w:b/>
          <w:sz w:val="28"/>
          <w:szCs w:val="28"/>
          <w:u w:val="single"/>
          <w:lang w:val="el-GR"/>
        </w:rPr>
        <w:t>«</w:t>
      </w:r>
      <w:r w:rsidR="003011E1" w:rsidRPr="00BF674F">
        <w:rPr>
          <w:b/>
          <w:sz w:val="28"/>
          <w:szCs w:val="28"/>
          <w:u w:val="single"/>
          <w:lang w:val="el-GR"/>
        </w:rPr>
        <w:t>Α. ΕΙΣΦΟΡΕΣ ΕΤΕΑΕΠ</w:t>
      </w:r>
    </w:p>
    <w:p w14:paraId="17F581A0" w14:textId="1EE344D5" w:rsidR="008C56DB" w:rsidRPr="00BF674F" w:rsidRDefault="00A32B61" w:rsidP="0067768C">
      <w:pPr>
        <w:spacing w:line="360" w:lineRule="atLeast"/>
        <w:jc w:val="both"/>
        <w:rPr>
          <w:sz w:val="28"/>
          <w:szCs w:val="28"/>
          <w:lang w:val="el-GR"/>
        </w:rPr>
      </w:pPr>
      <w:r w:rsidRPr="00BF674F">
        <w:rPr>
          <w:sz w:val="28"/>
          <w:szCs w:val="28"/>
          <w:lang w:val="el-GR"/>
        </w:rPr>
        <w:t>Τ</w:t>
      </w:r>
      <w:r w:rsidR="008C56DB" w:rsidRPr="00BF674F">
        <w:rPr>
          <w:sz w:val="28"/>
          <w:szCs w:val="28"/>
          <w:lang w:val="el-GR"/>
        </w:rPr>
        <w:t xml:space="preserve">ο Ενιαίο Ταμείο Επικουρικής Ασφάλισης και Εφάπαξ Παροχών </w:t>
      </w:r>
      <w:r w:rsidRPr="00BF674F">
        <w:rPr>
          <w:sz w:val="28"/>
          <w:szCs w:val="28"/>
          <w:lang w:val="el-GR"/>
        </w:rPr>
        <w:t xml:space="preserve">(ΕΤΕΑΕΠ) </w:t>
      </w:r>
      <w:r w:rsidR="008C56DB" w:rsidRPr="00BF674F">
        <w:rPr>
          <w:sz w:val="28"/>
          <w:szCs w:val="28"/>
          <w:lang w:val="el-GR"/>
        </w:rPr>
        <w:t xml:space="preserve">ιδρύθηκε με τα άρθρα 74 </w:t>
      </w:r>
      <w:proofErr w:type="spellStart"/>
      <w:r w:rsidR="008C56DB" w:rsidRPr="00BF674F">
        <w:rPr>
          <w:sz w:val="28"/>
          <w:szCs w:val="28"/>
          <w:lang w:val="el-GR"/>
        </w:rPr>
        <w:t>επ</w:t>
      </w:r>
      <w:proofErr w:type="spellEnd"/>
      <w:r w:rsidR="008C56DB" w:rsidRPr="00BF674F">
        <w:rPr>
          <w:sz w:val="28"/>
          <w:szCs w:val="28"/>
          <w:lang w:val="el-GR"/>
        </w:rPr>
        <w:t xml:space="preserve">. του ν.4387/2016 και </w:t>
      </w:r>
      <w:proofErr w:type="spellStart"/>
      <w:r w:rsidRPr="00BF674F">
        <w:rPr>
          <w:sz w:val="28"/>
          <w:szCs w:val="28"/>
          <w:lang w:val="el-GR"/>
        </w:rPr>
        <w:t>σ’αυτό</w:t>
      </w:r>
      <w:proofErr w:type="spellEnd"/>
      <w:r w:rsidR="008C56DB" w:rsidRPr="00BF674F">
        <w:rPr>
          <w:sz w:val="28"/>
          <w:szCs w:val="28"/>
          <w:lang w:val="el-GR"/>
        </w:rPr>
        <w:t xml:space="preserve"> έχουν ενταχθεί ο Κλάδος Επικουρικής Ασφάλισης Δικηγόρων (ΚΕΑΔ) και ο Τομέας Προνοίας Δικηγόρων Αθηνών (ΤΠΔΑ).</w:t>
      </w:r>
    </w:p>
    <w:p w14:paraId="77CBF939" w14:textId="58A5A831" w:rsidR="00A32B61" w:rsidRPr="00BF674F" w:rsidRDefault="00A32B61" w:rsidP="0067768C">
      <w:pPr>
        <w:spacing w:line="360" w:lineRule="atLeast"/>
        <w:jc w:val="both"/>
        <w:rPr>
          <w:b/>
          <w:sz w:val="28"/>
          <w:szCs w:val="28"/>
          <w:lang w:val="el-GR"/>
        </w:rPr>
      </w:pPr>
      <w:r w:rsidRPr="00BF674F">
        <w:rPr>
          <w:b/>
          <w:sz w:val="28"/>
          <w:szCs w:val="28"/>
          <w:lang w:val="el-GR"/>
        </w:rPr>
        <w:t>Διατηρεί δύο Κλάδους:</w:t>
      </w:r>
    </w:p>
    <w:p w14:paraId="46257F14" w14:textId="77777777" w:rsidR="008C56DB" w:rsidRPr="00BF674F" w:rsidRDefault="008C56DB" w:rsidP="0067768C">
      <w:pPr>
        <w:spacing w:line="360" w:lineRule="atLeast"/>
        <w:jc w:val="both"/>
        <w:rPr>
          <w:sz w:val="28"/>
          <w:szCs w:val="28"/>
          <w:u w:val="single"/>
          <w:lang w:val="el-GR"/>
        </w:rPr>
      </w:pPr>
      <w:r w:rsidRPr="00BF674F">
        <w:rPr>
          <w:sz w:val="28"/>
          <w:szCs w:val="28"/>
          <w:u w:val="single"/>
          <w:lang w:val="el-GR"/>
        </w:rPr>
        <w:t>Α) Επικουρική ασφάλιση:</w:t>
      </w:r>
      <w:r w:rsidRPr="00BF674F">
        <w:rPr>
          <w:sz w:val="28"/>
          <w:szCs w:val="28"/>
          <w:lang w:val="el-GR"/>
        </w:rPr>
        <w:t xml:space="preserve"> Οι εισφορές αυτές προβλέπονται στο άρθρο 97 του ν.4387/2016, επιβάλλονται από 1.1.2017, </w:t>
      </w:r>
      <w:r w:rsidRPr="00BF674F">
        <w:rPr>
          <w:sz w:val="28"/>
          <w:szCs w:val="28"/>
          <w:u w:val="single"/>
          <w:lang w:val="el-GR"/>
        </w:rPr>
        <w:t xml:space="preserve">αφορούν όλους τους δικηγόρους της χώρας </w:t>
      </w:r>
      <w:r w:rsidRPr="00BF674F">
        <w:rPr>
          <w:sz w:val="28"/>
          <w:szCs w:val="28"/>
          <w:lang w:val="el-GR"/>
        </w:rPr>
        <w:t xml:space="preserve">και αρχικώς </w:t>
      </w:r>
      <w:r w:rsidR="00887625" w:rsidRPr="00BF674F">
        <w:rPr>
          <w:sz w:val="28"/>
          <w:szCs w:val="28"/>
          <w:lang w:val="el-GR"/>
        </w:rPr>
        <w:t>είχαν οριστεί ως</w:t>
      </w:r>
      <w:r w:rsidRPr="00BF674F">
        <w:rPr>
          <w:sz w:val="28"/>
          <w:szCs w:val="28"/>
          <w:lang w:val="el-GR"/>
        </w:rPr>
        <w:t xml:space="preserve"> ποσοστό 7% επί του Καθαρού Φορολογητέου Αποτελέσματος της προηγούμενης χρήσης</w:t>
      </w:r>
      <w:r w:rsidR="00887625" w:rsidRPr="00BF674F">
        <w:rPr>
          <w:sz w:val="28"/>
          <w:szCs w:val="28"/>
          <w:lang w:val="el-GR"/>
        </w:rPr>
        <w:t xml:space="preserve">. Πλέον μετά την ισχύ του ν.4578/2018 οι εισφορές αυτές είναι ουσιαστικά πάγιες, ως ποσοστό 7% επί του κατώτατου μισθού και μάλιστα με αναδρομική ισχύ από 1.1.2017. </w:t>
      </w:r>
      <w:r w:rsidR="00887625" w:rsidRPr="00BF674F">
        <w:rPr>
          <w:sz w:val="28"/>
          <w:szCs w:val="28"/>
          <w:u w:val="single"/>
          <w:lang w:val="el-GR"/>
        </w:rPr>
        <w:t>Τούτο αποτελεί σημαντική επιτυχία για τον Κλάδο μας, αφού περιορίζει σημαντικά τον εισπρακτικό – φορολογικό χαρακτήρα των εισφορών.</w:t>
      </w:r>
    </w:p>
    <w:p w14:paraId="2789003A" w14:textId="77777777" w:rsidR="00887625" w:rsidRPr="00BF674F" w:rsidRDefault="00887625" w:rsidP="0067768C">
      <w:pPr>
        <w:pStyle w:val="a3"/>
        <w:spacing w:line="360" w:lineRule="atLeast"/>
        <w:jc w:val="both"/>
        <w:rPr>
          <w:sz w:val="28"/>
          <w:szCs w:val="28"/>
          <w:lang w:val="el-GR"/>
        </w:rPr>
      </w:pPr>
      <w:r w:rsidRPr="00BF674F">
        <w:rPr>
          <w:sz w:val="28"/>
          <w:szCs w:val="28"/>
          <w:u w:val="single"/>
          <w:lang w:val="el-GR"/>
        </w:rPr>
        <w:t>Μηνιαία εισφορά:</w:t>
      </w:r>
      <w:r w:rsidRPr="00BF674F">
        <w:rPr>
          <w:sz w:val="28"/>
          <w:szCs w:val="28"/>
          <w:lang w:val="el-GR"/>
        </w:rPr>
        <w:t xml:space="preserve"> </w:t>
      </w:r>
      <w:r w:rsidRPr="00BF674F">
        <w:rPr>
          <w:sz w:val="28"/>
          <w:szCs w:val="28"/>
          <w:lang w:val="el-GR"/>
        </w:rPr>
        <w:tab/>
        <w:t>α) από 1.1.17 έως 31.1.19 (κατώτατος μισθός 586,08) 41,02 ευρώ</w:t>
      </w:r>
    </w:p>
    <w:p w14:paraId="4DDA825E" w14:textId="77777777" w:rsidR="00887625" w:rsidRPr="00BF674F" w:rsidRDefault="00887625" w:rsidP="0067768C">
      <w:pPr>
        <w:pStyle w:val="a3"/>
        <w:spacing w:line="360" w:lineRule="atLeast"/>
        <w:jc w:val="both"/>
        <w:rPr>
          <w:sz w:val="28"/>
          <w:szCs w:val="28"/>
          <w:lang w:val="el-GR"/>
        </w:rPr>
      </w:pPr>
      <w:r w:rsidRPr="00BF674F">
        <w:rPr>
          <w:sz w:val="28"/>
          <w:szCs w:val="28"/>
          <w:lang w:val="el-GR"/>
        </w:rPr>
        <w:tab/>
      </w:r>
      <w:r w:rsidRPr="00BF674F">
        <w:rPr>
          <w:sz w:val="28"/>
          <w:szCs w:val="28"/>
          <w:lang w:val="el-GR"/>
        </w:rPr>
        <w:tab/>
      </w:r>
      <w:r w:rsidRPr="00BF674F">
        <w:rPr>
          <w:sz w:val="28"/>
          <w:szCs w:val="28"/>
          <w:lang w:val="el-GR"/>
        </w:rPr>
        <w:tab/>
        <w:t>β) από 1.2.19 (κατώτατος μισθός 650) 45,50 ευρώ</w:t>
      </w:r>
    </w:p>
    <w:p w14:paraId="52C82D0F" w14:textId="77777777" w:rsidR="00887625" w:rsidRPr="00BF674F" w:rsidRDefault="00887625" w:rsidP="0067768C">
      <w:pPr>
        <w:pStyle w:val="a3"/>
        <w:spacing w:line="360" w:lineRule="atLeast"/>
        <w:jc w:val="both"/>
        <w:rPr>
          <w:sz w:val="28"/>
          <w:szCs w:val="28"/>
          <w:lang w:val="el-GR"/>
        </w:rPr>
      </w:pPr>
    </w:p>
    <w:p w14:paraId="64757B47" w14:textId="77777777" w:rsidR="00887625" w:rsidRPr="00BF674F" w:rsidRDefault="00887625" w:rsidP="0067768C">
      <w:pPr>
        <w:spacing w:line="360" w:lineRule="atLeast"/>
        <w:jc w:val="both"/>
        <w:rPr>
          <w:sz w:val="28"/>
          <w:szCs w:val="28"/>
          <w:u w:val="single"/>
          <w:lang w:val="el-GR"/>
        </w:rPr>
      </w:pPr>
      <w:r w:rsidRPr="00BF674F">
        <w:rPr>
          <w:sz w:val="28"/>
          <w:szCs w:val="28"/>
          <w:u w:val="single"/>
          <w:lang w:val="el-GR"/>
        </w:rPr>
        <w:t>Β) Πρόνοια (μόνο δικηγόροι Αθηνών)</w:t>
      </w:r>
      <w:r w:rsidRPr="00BF674F">
        <w:rPr>
          <w:sz w:val="28"/>
          <w:szCs w:val="28"/>
          <w:lang w:val="el-GR"/>
        </w:rPr>
        <w:t xml:space="preserve"> Οι εισφορές αυτές προβλέπονται στο άρθρο 35 του ν.4387/2016, επιβάλλονται από 1.1.2017, </w:t>
      </w:r>
      <w:r w:rsidRPr="00BF674F">
        <w:rPr>
          <w:sz w:val="28"/>
          <w:szCs w:val="28"/>
          <w:u w:val="single"/>
          <w:lang w:val="el-GR"/>
        </w:rPr>
        <w:t xml:space="preserve">αφορούν μόνο δικηγόρους Αθηνών </w:t>
      </w:r>
      <w:r w:rsidRPr="00BF674F">
        <w:rPr>
          <w:sz w:val="28"/>
          <w:szCs w:val="28"/>
          <w:lang w:val="el-GR"/>
        </w:rPr>
        <w:t xml:space="preserve">και αρχικώς είχαν οριστεί ως ποσοστό 4% επί του Καθαρού Φορολογητέου Αποτελέσματος της προηγούμενης χρήσης. Πλέον μετά την ισχύ του ν.4578/2018 οι εισφορές αυτές είναι ουσιαστικά πάγιες, ως ποσοστό 4% επί του κατώτατου μισθού και μάλιστα με αναδρομική ισχύ από 1.1.2017. </w:t>
      </w:r>
      <w:r w:rsidRPr="00BF674F">
        <w:rPr>
          <w:sz w:val="28"/>
          <w:szCs w:val="28"/>
          <w:u w:val="single"/>
          <w:lang w:val="el-GR"/>
        </w:rPr>
        <w:t>Τούτο αποτελεί σημαντική επιτυχία για τον Κλάδο μας, αφού περιορίζει σημαντικά τον εισπρακτικό – φορολογικό χαρακτήρα των εισφορών.</w:t>
      </w:r>
    </w:p>
    <w:p w14:paraId="0A07430A" w14:textId="77777777" w:rsidR="00887625" w:rsidRPr="00BF674F" w:rsidRDefault="00887625" w:rsidP="0067768C">
      <w:pPr>
        <w:pStyle w:val="a3"/>
        <w:spacing w:line="360" w:lineRule="atLeast"/>
        <w:jc w:val="both"/>
        <w:rPr>
          <w:sz w:val="28"/>
          <w:szCs w:val="28"/>
          <w:lang w:val="el-GR"/>
        </w:rPr>
      </w:pPr>
      <w:r w:rsidRPr="00BF674F">
        <w:rPr>
          <w:sz w:val="28"/>
          <w:szCs w:val="28"/>
          <w:u w:val="single"/>
          <w:lang w:val="el-GR"/>
        </w:rPr>
        <w:t>Μηνιαία εισφορά:</w:t>
      </w:r>
      <w:r w:rsidRPr="00BF674F">
        <w:rPr>
          <w:sz w:val="28"/>
          <w:szCs w:val="28"/>
          <w:lang w:val="el-GR"/>
        </w:rPr>
        <w:t xml:space="preserve"> </w:t>
      </w:r>
      <w:r w:rsidRPr="00BF674F">
        <w:rPr>
          <w:sz w:val="28"/>
          <w:szCs w:val="28"/>
          <w:lang w:val="el-GR"/>
        </w:rPr>
        <w:tab/>
        <w:t>α) από 1.1.17 έως 31.1.19 (κατώτατος μισθός 586,08) 23,44 ευρώ</w:t>
      </w:r>
    </w:p>
    <w:p w14:paraId="53A38DDB" w14:textId="77777777" w:rsidR="00887625" w:rsidRPr="00BF674F" w:rsidRDefault="00887625" w:rsidP="0067768C">
      <w:pPr>
        <w:pStyle w:val="a3"/>
        <w:spacing w:line="360" w:lineRule="atLeast"/>
        <w:jc w:val="both"/>
        <w:rPr>
          <w:sz w:val="28"/>
          <w:szCs w:val="28"/>
          <w:lang w:val="el-GR"/>
        </w:rPr>
      </w:pPr>
      <w:r w:rsidRPr="00BF674F">
        <w:rPr>
          <w:sz w:val="28"/>
          <w:szCs w:val="28"/>
          <w:lang w:val="el-GR"/>
        </w:rPr>
        <w:tab/>
      </w:r>
      <w:r w:rsidRPr="00BF674F">
        <w:rPr>
          <w:sz w:val="28"/>
          <w:szCs w:val="28"/>
          <w:lang w:val="el-GR"/>
        </w:rPr>
        <w:tab/>
      </w:r>
      <w:r w:rsidRPr="00BF674F">
        <w:rPr>
          <w:sz w:val="28"/>
          <w:szCs w:val="28"/>
          <w:lang w:val="el-GR"/>
        </w:rPr>
        <w:tab/>
        <w:t>β) από 1.2.19 (κατώτατος μισθός 650) 26,00 ευρώ</w:t>
      </w:r>
    </w:p>
    <w:p w14:paraId="4485DF61" w14:textId="77777777" w:rsidR="00887625" w:rsidRPr="00BF674F" w:rsidRDefault="00887625" w:rsidP="0067768C">
      <w:pPr>
        <w:pStyle w:val="a3"/>
        <w:spacing w:line="360" w:lineRule="atLeast"/>
        <w:jc w:val="both"/>
        <w:rPr>
          <w:sz w:val="28"/>
          <w:szCs w:val="28"/>
          <w:lang w:val="el-GR"/>
        </w:rPr>
      </w:pPr>
    </w:p>
    <w:p w14:paraId="5ED75764" w14:textId="77777777" w:rsidR="00887625" w:rsidRPr="00BF674F" w:rsidRDefault="00887625" w:rsidP="0067768C">
      <w:pPr>
        <w:pStyle w:val="a3"/>
        <w:spacing w:line="360" w:lineRule="atLeast"/>
        <w:jc w:val="both"/>
        <w:rPr>
          <w:sz w:val="28"/>
          <w:szCs w:val="28"/>
          <w:lang w:val="el-GR"/>
        </w:rPr>
      </w:pPr>
    </w:p>
    <w:p w14:paraId="72536401" w14:textId="47AD1D58" w:rsidR="00887625" w:rsidRPr="00BF674F" w:rsidRDefault="00A32B61" w:rsidP="0067768C">
      <w:pPr>
        <w:spacing w:line="360" w:lineRule="atLeast"/>
        <w:jc w:val="both"/>
        <w:rPr>
          <w:sz w:val="28"/>
          <w:szCs w:val="28"/>
          <w:lang w:val="el-GR"/>
        </w:rPr>
      </w:pPr>
      <w:r w:rsidRPr="00BF674F">
        <w:rPr>
          <w:sz w:val="28"/>
          <w:szCs w:val="28"/>
          <w:lang w:val="el-GR"/>
        </w:rPr>
        <w:t xml:space="preserve">ΑΝΑΔΡΟΜΙΚΕΣ ΕΙΣΦΟΡΕΣ: Λόγω </w:t>
      </w:r>
      <w:r w:rsidR="00734821" w:rsidRPr="00BF674F">
        <w:rPr>
          <w:sz w:val="28"/>
          <w:szCs w:val="28"/>
          <w:lang w:val="el-GR"/>
        </w:rPr>
        <w:t>καθυστέρηση</w:t>
      </w:r>
      <w:r w:rsidRPr="00BF674F">
        <w:rPr>
          <w:sz w:val="28"/>
          <w:szCs w:val="28"/>
          <w:lang w:val="el-GR"/>
        </w:rPr>
        <w:t>ς</w:t>
      </w:r>
      <w:r w:rsidR="00734821" w:rsidRPr="00BF674F">
        <w:rPr>
          <w:sz w:val="28"/>
          <w:szCs w:val="28"/>
          <w:lang w:val="el-GR"/>
        </w:rPr>
        <w:t xml:space="preserve"> </w:t>
      </w:r>
      <w:r w:rsidRPr="00BF674F">
        <w:rPr>
          <w:sz w:val="28"/>
          <w:szCs w:val="28"/>
          <w:lang w:val="el-GR"/>
        </w:rPr>
        <w:t xml:space="preserve">που </w:t>
      </w:r>
      <w:r w:rsidR="00734821" w:rsidRPr="00BF674F">
        <w:rPr>
          <w:sz w:val="28"/>
          <w:szCs w:val="28"/>
          <w:lang w:val="el-GR"/>
        </w:rPr>
        <w:t>οφείλεται σε υπαιτιότητα της Πολιτείας (ΕΤΕΑΕΠ και Υπουργείο Εργασίας)</w:t>
      </w:r>
      <w:r w:rsidRPr="00BF674F">
        <w:rPr>
          <w:sz w:val="28"/>
          <w:szCs w:val="28"/>
          <w:lang w:val="el-GR"/>
        </w:rPr>
        <w:t xml:space="preserve"> δεν έχουν καταλογισθεί οι εισφορές 2017 και 2018</w:t>
      </w:r>
      <w:r w:rsidR="00734821" w:rsidRPr="00BF674F">
        <w:rPr>
          <w:sz w:val="28"/>
          <w:szCs w:val="28"/>
          <w:lang w:val="el-GR"/>
        </w:rPr>
        <w:t xml:space="preserve"> και σύμφωνα με σχετική εγκύκλιο του Υπουργείου, τα αναδρομικά </w:t>
      </w:r>
      <w:r w:rsidRPr="00BF674F">
        <w:rPr>
          <w:sz w:val="28"/>
          <w:szCs w:val="28"/>
          <w:lang w:val="el-GR"/>
        </w:rPr>
        <w:t xml:space="preserve">που </w:t>
      </w:r>
      <w:r w:rsidR="00734821" w:rsidRPr="00BF674F">
        <w:rPr>
          <w:sz w:val="28"/>
          <w:szCs w:val="28"/>
          <w:lang w:val="el-GR"/>
        </w:rPr>
        <w:t>αφορούν το χρονικό διάστημα από 1.1.2017 έως και 31.12.2018</w:t>
      </w:r>
      <w:r w:rsidRPr="00BF674F">
        <w:rPr>
          <w:sz w:val="28"/>
          <w:szCs w:val="28"/>
          <w:lang w:val="el-GR"/>
        </w:rPr>
        <w:t xml:space="preserve"> και</w:t>
      </w:r>
      <w:r w:rsidR="00734821" w:rsidRPr="00BF674F">
        <w:rPr>
          <w:sz w:val="28"/>
          <w:szCs w:val="28"/>
          <w:lang w:val="el-GR"/>
        </w:rPr>
        <w:t xml:space="preserve"> έχουν εκκαθαριστεί</w:t>
      </w:r>
      <w:r w:rsidRPr="00BF674F">
        <w:rPr>
          <w:sz w:val="28"/>
          <w:szCs w:val="28"/>
          <w:lang w:val="el-GR"/>
        </w:rPr>
        <w:t xml:space="preserve">, </w:t>
      </w:r>
      <w:r w:rsidR="00734821" w:rsidRPr="00BF674F">
        <w:rPr>
          <w:sz w:val="28"/>
          <w:szCs w:val="28"/>
          <w:lang w:val="el-GR"/>
        </w:rPr>
        <w:t>θα επιβληθούν σε 36 δόσεις.</w:t>
      </w:r>
    </w:p>
    <w:p w14:paraId="519BCCB4" w14:textId="3818DC73" w:rsidR="00734821" w:rsidRPr="00BF674F" w:rsidRDefault="00A32B61" w:rsidP="0067768C">
      <w:pPr>
        <w:spacing w:line="360" w:lineRule="atLeast"/>
        <w:jc w:val="both"/>
        <w:rPr>
          <w:sz w:val="28"/>
          <w:szCs w:val="28"/>
          <w:u w:val="single"/>
          <w:lang w:val="el-GR"/>
        </w:rPr>
      </w:pPr>
      <w:r w:rsidRPr="00BF674F">
        <w:rPr>
          <w:sz w:val="28"/>
          <w:szCs w:val="28"/>
          <w:lang w:val="el-GR"/>
        </w:rPr>
        <w:t xml:space="preserve">Αναλυτικά η επιβάρυνση: </w:t>
      </w:r>
    </w:p>
    <w:p w14:paraId="6108EBDB" w14:textId="77777777" w:rsidR="00734821" w:rsidRPr="00BF674F" w:rsidRDefault="00734821" w:rsidP="0067768C">
      <w:pPr>
        <w:spacing w:line="360" w:lineRule="atLeast"/>
        <w:jc w:val="both"/>
        <w:rPr>
          <w:sz w:val="28"/>
          <w:szCs w:val="28"/>
          <w:lang w:val="el-GR"/>
        </w:rPr>
      </w:pPr>
      <w:r w:rsidRPr="00BF674F">
        <w:rPr>
          <w:sz w:val="28"/>
          <w:szCs w:val="28"/>
          <w:lang w:val="el-GR"/>
        </w:rPr>
        <w:t xml:space="preserve"> ΑΣΦΑΛΙΣΜΕΝΟΙ ΑΝΩ ΤΗΣ ΠΕΝΤΑΕΤΙΑΣ – ΕΙΔΟΠΟΙΗΤΗΡΙΟ ΕΤΕΑΕΠ</w:t>
      </w:r>
    </w:p>
    <w:tbl>
      <w:tblPr>
        <w:tblW w:w="8355" w:type="dxa"/>
        <w:shd w:val="clear" w:color="auto" w:fill="1D1D1D"/>
        <w:tblCellMar>
          <w:left w:w="0" w:type="dxa"/>
          <w:right w:w="0" w:type="dxa"/>
        </w:tblCellMar>
        <w:tblLook w:val="04A0" w:firstRow="1" w:lastRow="0" w:firstColumn="1" w:lastColumn="0" w:noHBand="0" w:noVBand="1"/>
      </w:tblPr>
      <w:tblGrid>
        <w:gridCol w:w="2220"/>
        <w:gridCol w:w="2135"/>
        <w:gridCol w:w="2340"/>
        <w:gridCol w:w="1660"/>
      </w:tblGrid>
      <w:tr w:rsidR="00734821" w:rsidRPr="00BF674F" w14:paraId="1D70FFD7" w14:textId="77777777" w:rsidTr="00E47C08">
        <w:tc>
          <w:tcPr>
            <w:tcW w:w="2060"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2E4D21ED" w14:textId="77777777" w:rsidR="00734821" w:rsidRPr="00BF674F" w:rsidRDefault="00734821" w:rsidP="0067768C">
            <w:pPr>
              <w:spacing w:line="360" w:lineRule="atLeast"/>
              <w:jc w:val="both"/>
              <w:rPr>
                <w:sz w:val="28"/>
                <w:szCs w:val="28"/>
              </w:rPr>
            </w:pPr>
            <w:r w:rsidRPr="00BF674F">
              <w:rPr>
                <w:b/>
                <w:bCs/>
                <w:sz w:val="28"/>
                <w:szCs w:val="28"/>
                <w:lang w:val="el-GR"/>
              </w:rPr>
              <w:t>ΕΛΑΧΙΣΤΗ ΒΑΣΗ</w:t>
            </w:r>
          </w:p>
        </w:tc>
        <w:tc>
          <w:tcPr>
            <w:tcW w:w="1440"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601B541E" w14:textId="77777777" w:rsidR="00734821" w:rsidRPr="00BF674F" w:rsidRDefault="00734821" w:rsidP="0067768C">
            <w:pPr>
              <w:spacing w:line="360" w:lineRule="atLeast"/>
              <w:jc w:val="both"/>
              <w:rPr>
                <w:sz w:val="28"/>
                <w:szCs w:val="28"/>
              </w:rPr>
            </w:pPr>
            <w:r w:rsidRPr="00BF674F">
              <w:rPr>
                <w:sz w:val="28"/>
                <w:szCs w:val="28"/>
                <w:lang w:val="el-GR"/>
              </w:rPr>
              <w:t>ΕΠΙΚΟΥΡΙΚΗ 7% (ΑΠΑΝΤΕΣ ΠΛΗΝ ΥΓΕΙΟΝΟΜΙΚΩΝ)</w:t>
            </w:r>
          </w:p>
        </w:tc>
        <w:tc>
          <w:tcPr>
            <w:tcW w:w="2520"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1376E6A2" w14:textId="77777777" w:rsidR="00734821" w:rsidRPr="00BF674F" w:rsidRDefault="00734821" w:rsidP="0067768C">
            <w:pPr>
              <w:spacing w:line="360" w:lineRule="atLeast"/>
              <w:jc w:val="both"/>
              <w:rPr>
                <w:sz w:val="28"/>
                <w:szCs w:val="28"/>
                <w:lang w:val="el-GR"/>
              </w:rPr>
            </w:pPr>
            <w:r w:rsidRPr="00BF674F">
              <w:rPr>
                <w:sz w:val="28"/>
                <w:szCs w:val="28"/>
                <w:lang w:val="el-GR"/>
              </w:rPr>
              <w:t>ΠΡΟΝΟΙΑ 4% (ΔΙΚΗΓΟΡΟΙ ΑΘΗΝΩΝ, ΣΥΜΒ/ΦΟΙ, ΔΙΚ.ΕΠΙΜΕΛΗΤΕΣ, ΜΗΧΑΝΙΚΟΙ, ΥΓΕΙΟΝΟΜΙΚΟΙ)</w:t>
            </w:r>
          </w:p>
        </w:tc>
        <w:tc>
          <w:tcPr>
            <w:tcW w:w="2340"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537A7F43" w14:textId="77777777" w:rsidR="00734821" w:rsidRPr="00BF674F" w:rsidRDefault="00734821" w:rsidP="0067768C">
            <w:pPr>
              <w:spacing w:line="360" w:lineRule="atLeast"/>
              <w:jc w:val="both"/>
              <w:rPr>
                <w:sz w:val="28"/>
                <w:szCs w:val="28"/>
              </w:rPr>
            </w:pPr>
            <w:r w:rsidRPr="00BF674F">
              <w:rPr>
                <w:b/>
                <w:bCs/>
                <w:sz w:val="28"/>
                <w:szCs w:val="28"/>
              </w:rPr>
              <w:t>ΣΥΝΟΛΟ</w:t>
            </w:r>
          </w:p>
        </w:tc>
      </w:tr>
      <w:tr w:rsidR="00734821" w:rsidRPr="00BF674F" w14:paraId="7869857F" w14:textId="77777777" w:rsidTr="00E47C08">
        <w:tc>
          <w:tcPr>
            <w:tcW w:w="206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13138E0F" w14:textId="77777777" w:rsidR="00734821" w:rsidRPr="00BF674F" w:rsidRDefault="00734821" w:rsidP="0067768C">
            <w:pPr>
              <w:spacing w:line="360" w:lineRule="atLeast"/>
              <w:jc w:val="both"/>
              <w:rPr>
                <w:sz w:val="28"/>
                <w:szCs w:val="28"/>
              </w:rPr>
            </w:pPr>
            <w:r w:rsidRPr="00BF674F">
              <w:rPr>
                <w:b/>
                <w:bCs/>
                <w:sz w:val="28"/>
                <w:szCs w:val="28"/>
              </w:rPr>
              <w:t>2017-8 (586,08)</w:t>
            </w:r>
          </w:p>
        </w:tc>
        <w:tc>
          <w:tcPr>
            <w:tcW w:w="1440" w:type="dxa"/>
            <w:tcBorders>
              <w:top w:val="nil"/>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03D9CB4" w14:textId="77777777" w:rsidR="00734821" w:rsidRPr="00BF674F" w:rsidRDefault="00734821" w:rsidP="0067768C">
            <w:pPr>
              <w:spacing w:line="360" w:lineRule="atLeast"/>
              <w:jc w:val="both"/>
              <w:rPr>
                <w:sz w:val="28"/>
                <w:szCs w:val="28"/>
              </w:rPr>
            </w:pPr>
            <w:r w:rsidRPr="00BF674F">
              <w:rPr>
                <w:sz w:val="28"/>
                <w:szCs w:val="28"/>
                <w:lang w:val="el-GR"/>
              </w:rPr>
              <w:t>41,02</w:t>
            </w:r>
          </w:p>
        </w:tc>
        <w:tc>
          <w:tcPr>
            <w:tcW w:w="2520" w:type="dxa"/>
            <w:tcBorders>
              <w:top w:val="nil"/>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06B19BA2" w14:textId="77777777" w:rsidR="00734821" w:rsidRPr="00BF674F" w:rsidRDefault="00734821" w:rsidP="0067768C">
            <w:pPr>
              <w:spacing w:line="360" w:lineRule="atLeast"/>
              <w:jc w:val="both"/>
              <w:rPr>
                <w:sz w:val="28"/>
                <w:szCs w:val="28"/>
              </w:rPr>
            </w:pPr>
            <w:r w:rsidRPr="00BF674F">
              <w:rPr>
                <w:sz w:val="28"/>
                <w:szCs w:val="28"/>
                <w:lang w:val="el-GR"/>
              </w:rPr>
              <w:t>23</w:t>
            </w:r>
            <w:r w:rsidRPr="00BF674F">
              <w:rPr>
                <w:sz w:val="28"/>
                <w:szCs w:val="28"/>
              </w:rPr>
              <w:t>,</w:t>
            </w:r>
            <w:r w:rsidRPr="00BF674F">
              <w:rPr>
                <w:sz w:val="28"/>
                <w:szCs w:val="28"/>
                <w:lang w:val="el-GR"/>
              </w:rPr>
              <w:t>44</w:t>
            </w:r>
          </w:p>
        </w:tc>
        <w:tc>
          <w:tcPr>
            <w:tcW w:w="2340" w:type="dxa"/>
            <w:tcBorders>
              <w:top w:val="nil"/>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66AC3B3D" w14:textId="77777777" w:rsidR="00734821" w:rsidRPr="00BF674F" w:rsidRDefault="00734821" w:rsidP="0067768C">
            <w:pPr>
              <w:spacing w:line="360" w:lineRule="atLeast"/>
              <w:jc w:val="both"/>
              <w:rPr>
                <w:sz w:val="28"/>
                <w:szCs w:val="28"/>
              </w:rPr>
            </w:pPr>
            <w:r w:rsidRPr="00BF674F">
              <w:rPr>
                <w:sz w:val="28"/>
                <w:szCs w:val="28"/>
                <w:lang w:val="el-GR"/>
              </w:rPr>
              <w:t>64,46</w:t>
            </w:r>
          </w:p>
        </w:tc>
      </w:tr>
      <w:tr w:rsidR="00734821" w:rsidRPr="00BF674F" w14:paraId="5A601CE9" w14:textId="77777777" w:rsidTr="00E47C08">
        <w:trPr>
          <w:trHeight w:val="655"/>
        </w:trPr>
        <w:tc>
          <w:tcPr>
            <w:tcW w:w="206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03336063" w14:textId="77777777" w:rsidR="00734821" w:rsidRPr="00BF674F" w:rsidRDefault="00734821" w:rsidP="0067768C">
            <w:pPr>
              <w:spacing w:line="360" w:lineRule="atLeast"/>
              <w:jc w:val="both"/>
              <w:rPr>
                <w:sz w:val="28"/>
                <w:szCs w:val="28"/>
              </w:rPr>
            </w:pPr>
            <w:proofErr w:type="gramStart"/>
            <w:r w:rsidRPr="00BF674F">
              <w:rPr>
                <w:b/>
                <w:bCs/>
                <w:sz w:val="28"/>
                <w:szCs w:val="28"/>
              </w:rPr>
              <w:t>2019</w:t>
            </w:r>
            <w:r w:rsidRPr="00BF674F">
              <w:rPr>
                <w:b/>
                <w:bCs/>
                <w:sz w:val="28"/>
                <w:szCs w:val="28"/>
                <w:lang w:val="el-GR"/>
              </w:rPr>
              <w:t>  </w:t>
            </w:r>
            <w:r w:rsidRPr="00BF674F">
              <w:rPr>
                <w:b/>
                <w:bCs/>
                <w:sz w:val="28"/>
                <w:szCs w:val="28"/>
              </w:rPr>
              <w:t>(</w:t>
            </w:r>
            <w:proofErr w:type="gramEnd"/>
            <w:r w:rsidRPr="00BF674F">
              <w:rPr>
                <w:b/>
                <w:bCs/>
                <w:sz w:val="28"/>
                <w:szCs w:val="28"/>
              </w:rPr>
              <w:t>6</w:t>
            </w:r>
            <w:r w:rsidRPr="00BF674F">
              <w:rPr>
                <w:b/>
                <w:bCs/>
                <w:sz w:val="28"/>
                <w:szCs w:val="28"/>
                <w:lang w:val="el-GR"/>
              </w:rPr>
              <w:t>5</w:t>
            </w:r>
            <w:r w:rsidRPr="00BF674F">
              <w:rPr>
                <w:b/>
                <w:bCs/>
                <w:sz w:val="28"/>
                <w:szCs w:val="28"/>
              </w:rPr>
              <w:t>0)</w:t>
            </w:r>
          </w:p>
        </w:tc>
        <w:tc>
          <w:tcPr>
            <w:tcW w:w="1440" w:type="dxa"/>
            <w:tcBorders>
              <w:top w:val="nil"/>
              <w:left w:val="nil"/>
              <w:bottom w:val="single" w:sz="4" w:space="0" w:color="auto"/>
              <w:right w:val="single" w:sz="8" w:space="0" w:color="auto"/>
            </w:tcBorders>
            <w:shd w:val="clear" w:color="auto" w:fill="8EAADB" w:themeFill="accent1" w:themeFillTint="99"/>
            <w:tcMar>
              <w:top w:w="0" w:type="dxa"/>
              <w:left w:w="108" w:type="dxa"/>
              <w:bottom w:w="0" w:type="dxa"/>
              <w:right w:w="108" w:type="dxa"/>
            </w:tcMar>
            <w:hideMark/>
          </w:tcPr>
          <w:p w14:paraId="65056432" w14:textId="77777777" w:rsidR="00734821" w:rsidRPr="00BF674F" w:rsidRDefault="00734821" w:rsidP="0067768C">
            <w:pPr>
              <w:spacing w:line="360" w:lineRule="atLeast"/>
              <w:jc w:val="both"/>
              <w:rPr>
                <w:sz w:val="28"/>
                <w:szCs w:val="28"/>
              </w:rPr>
            </w:pPr>
            <w:r w:rsidRPr="00BF674F">
              <w:rPr>
                <w:sz w:val="28"/>
                <w:szCs w:val="28"/>
                <w:lang w:val="el-GR"/>
              </w:rPr>
              <w:t>45,50</w:t>
            </w:r>
          </w:p>
        </w:tc>
        <w:tc>
          <w:tcPr>
            <w:tcW w:w="2520" w:type="dxa"/>
            <w:tcBorders>
              <w:top w:val="nil"/>
              <w:left w:val="nil"/>
              <w:bottom w:val="single" w:sz="4" w:space="0" w:color="auto"/>
              <w:right w:val="single" w:sz="8" w:space="0" w:color="auto"/>
            </w:tcBorders>
            <w:shd w:val="clear" w:color="auto" w:fill="8EAADB" w:themeFill="accent1" w:themeFillTint="99"/>
            <w:tcMar>
              <w:top w:w="0" w:type="dxa"/>
              <w:left w:w="108" w:type="dxa"/>
              <w:bottom w:w="0" w:type="dxa"/>
              <w:right w:w="108" w:type="dxa"/>
            </w:tcMar>
            <w:hideMark/>
          </w:tcPr>
          <w:p w14:paraId="1AE1AEC8" w14:textId="77777777" w:rsidR="00734821" w:rsidRPr="00BF674F" w:rsidRDefault="00734821" w:rsidP="0067768C">
            <w:pPr>
              <w:spacing w:line="360" w:lineRule="atLeast"/>
              <w:jc w:val="both"/>
              <w:rPr>
                <w:sz w:val="28"/>
                <w:szCs w:val="28"/>
              </w:rPr>
            </w:pPr>
            <w:r w:rsidRPr="00BF674F">
              <w:rPr>
                <w:sz w:val="28"/>
                <w:szCs w:val="28"/>
                <w:lang w:val="el-GR"/>
              </w:rPr>
              <w:t>26,00</w:t>
            </w:r>
          </w:p>
        </w:tc>
        <w:tc>
          <w:tcPr>
            <w:tcW w:w="2340" w:type="dxa"/>
            <w:tcBorders>
              <w:top w:val="nil"/>
              <w:left w:val="nil"/>
              <w:bottom w:val="single" w:sz="4" w:space="0" w:color="auto"/>
              <w:right w:val="single" w:sz="8" w:space="0" w:color="auto"/>
            </w:tcBorders>
            <w:shd w:val="clear" w:color="auto" w:fill="8EAADB" w:themeFill="accent1" w:themeFillTint="99"/>
            <w:tcMar>
              <w:top w:w="0" w:type="dxa"/>
              <w:left w:w="108" w:type="dxa"/>
              <w:bottom w:w="0" w:type="dxa"/>
              <w:right w:w="108" w:type="dxa"/>
            </w:tcMar>
            <w:hideMark/>
          </w:tcPr>
          <w:p w14:paraId="5EFAE640" w14:textId="77777777" w:rsidR="00734821" w:rsidRPr="00BF674F" w:rsidRDefault="00734821" w:rsidP="0067768C">
            <w:pPr>
              <w:spacing w:line="360" w:lineRule="atLeast"/>
              <w:jc w:val="both"/>
              <w:rPr>
                <w:sz w:val="28"/>
                <w:szCs w:val="28"/>
              </w:rPr>
            </w:pPr>
            <w:r w:rsidRPr="00BF674F">
              <w:rPr>
                <w:sz w:val="28"/>
                <w:szCs w:val="28"/>
                <w:lang w:val="el-GR"/>
              </w:rPr>
              <w:t>71,50</w:t>
            </w:r>
          </w:p>
        </w:tc>
      </w:tr>
      <w:tr w:rsidR="00734821" w:rsidRPr="00BF674F" w14:paraId="4F2E060F" w14:textId="77777777" w:rsidTr="00E47C08">
        <w:tc>
          <w:tcPr>
            <w:tcW w:w="2060" w:type="dxa"/>
            <w:tcBorders>
              <w:top w:val="single" w:sz="8" w:space="0" w:color="auto"/>
              <w:left w:val="single" w:sz="8" w:space="0" w:color="auto"/>
              <w:bottom w:val="single" w:sz="8" w:space="0" w:color="auto"/>
              <w:right w:val="single" w:sz="4" w:space="0" w:color="auto"/>
            </w:tcBorders>
            <w:shd w:val="clear" w:color="auto" w:fill="8EAADB" w:themeFill="accent1" w:themeFillTint="99"/>
            <w:tcMar>
              <w:top w:w="0" w:type="dxa"/>
              <w:left w:w="108" w:type="dxa"/>
              <w:bottom w:w="0" w:type="dxa"/>
              <w:right w:w="108" w:type="dxa"/>
            </w:tcMar>
            <w:hideMark/>
          </w:tcPr>
          <w:p w14:paraId="3441F38F" w14:textId="77777777" w:rsidR="00734821" w:rsidRPr="00BF674F" w:rsidRDefault="00734821" w:rsidP="0067768C">
            <w:pPr>
              <w:spacing w:line="360" w:lineRule="atLeast"/>
              <w:jc w:val="both"/>
              <w:rPr>
                <w:sz w:val="28"/>
                <w:szCs w:val="28"/>
              </w:rPr>
            </w:pPr>
            <w:r w:rsidRPr="00BF674F">
              <w:rPr>
                <w:sz w:val="28"/>
                <w:szCs w:val="28"/>
                <w:lang w:val="el-GR"/>
              </w:rPr>
              <w:t>ΑΥΞΗΣΗ</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hideMark/>
          </w:tcPr>
          <w:p w14:paraId="6129716A" w14:textId="77777777" w:rsidR="00734821" w:rsidRPr="00BF674F" w:rsidRDefault="00734821" w:rsidP="0067768C">
            <w:pPr>
              <w:spacing w:line="360" w:lineRule="atLeast"/>
              <w:jc w:val="both"/>
              <w:rPr>
                <w:sz w:val="28"/>
                <w:szCs w:val="28"/>
              </w:rPr>
            </w:pPr>
            <w:r w:rsidRPr="00BF674F">
              <w:rPr>
                <w:b/>
                <w:bCs/>
                <w:sz w:val="28"/>
                <w:szCs w:val="28"/>
                <w:lang w:val="el-GR"/>
              </w:rPr>
              <w:t>+4</w:t>
            </w:r>
            <w:r w:rsidRPr="00BF674F">
              <w:rPr>
                <w:b/>
                <w:bCs/>
                <w:sz w:val="28"/>
                <w:szCs w:val="28"/>
              </w:rPr>
              <w:t>,</w:t>
            </w:r>
            <w:r w:rsidRPr="00BF674F">
              <w:rPr>
                <w:b/>
                <w:bCs/>
                <w:sz w:val="28"/>
                <w:szCs w:val="28"/>
                <w:lang w:val="el-GR"/>
              </w:rPr>
              <w:t>4</w:t>
            </w:r>
            <w:r w:rsidRPr="00BF674F">
              <w:rPr>
                <w:b/>
                <w:bCs/>
                <w:sz w:val="28"/>
                <w:szCs w:val="28"/>
              </w:rPr>
              <w:t>8</w:t>
            </w:r>
          </w:p>
        </w:tc>
        <w:tc>
          <w:tcPr>
            <w:tcW w:w="252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hideMark/>
          </w:tcPr>
          <w:p w14:paraId="0DF0DFC1" w14:textId="77777777" w:rsidR="00734821" w:rsidRPr="00BF674F" w:rsidRDefault="00734821" w:rsidP="0067768C">
            <w:pPr>
              <w:spacing w:line="360" w:lineRule="atLeast"/>
              <w:jc w:val="both"/>
              <w:rPr>
                <w:sz w:val="28"/>
                <w:szCs w:val="28"/>
              </w:rPr>
            </w:pPr>
            <w:r w:rsidRPr="00BF674F">
              <w:rPr>
                <w:b/>
                <w:bCs/>
                <w:sz w:val="28"/>
                <w:szCs w:val="28"/>
                <w:lang w:val="el-GR"/>
              </w:rPr>
              <w:t>+2</w:t>
            </w:r>
            <w:r w:rsidRPr="00BF674F">
              <w:rPr>
                <w:b/>
                <w:bCs/>
                <w:sz w:val="28"/>
                <w:szCs w:val="28"/>
              </w:rPr>
              <w:t>,</w:t>
            </w:r>
            <w:r w:rsidRPr="00BF674F">
              <w:rPr>
                <w:b/>
                <w:bCs/>
                <w:sz w:val="28"/>
                <w:szCs w:val="28"/>
                <w:lang w:val="el-GR"/>
              </w:rPr>
              <w:t>56</w:t>
            </w:r>
          </w:p>
        </w:tc>
        <w:tc>
          <w:tcPr>
            <w:tcW w:w="234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hideMark/>
          </w:tcPr>
          <w:p w14:paraId="6CC4A655" w14:textId="77777777" w:rsidR="00734821" w:rsidRPr="00BF674F" w:rsidRDefault="00734821" w:rsidP="0067768C">
            <w:pPr>
              <w:spacing w:line="360" w:lineRule="atLeast"/>
              <w:jc w:val="both"/>
              <w:rPr>
                <w:sz w:val="28"/>
                <w:szCs w:val="28"/>
              </w:rPr>
            </w:pPr>
            <w:r w:rsidRPr="00BF674F">
              <w:rPr>
                <w:b/>
                <w:bCs/>
                <w:sz w:val="28"/>
                <w:szCs w:val="28"/>
                <w:lang w:val="el-GR"/>
              </w:rPr>
              <w:t>+7,04</w:t>
            </w:r>
          </w:p>
        </w:tc>
      </w:tr>
      <w:tr w:rsidR="00734821" w:rsidRPr="00BF674F" w14:paraId="0846E70A" w14:textId="77777777" w:rsidTr="00E47C08">
        <w:tc>
          <w:tcPr>
            <w:tcW w:w="2060" w:type="dxa"/>
            <w:tcBorders>
              <w:top w:val="single" w:sz="8" w:space="0" w:color="auto"/>
              <w:left w:val="single" w:sz="8" w:space="0" w:color="auto"/>
              <w:bottom w:val="single" w:sz="8" w:space="0" w:color="auto"/>
              <w:right w:val="single" w:sz="4" w:space="0" w:color="auto"/>
            </w:tcBorders>
            <w:shd w:val="clear" w:color="auto" w:fill="8EAADB" w:themeFill="accent1" w:themeFillTint="99"/>
            <w:tcMar>
              <w:top w:w="0" w:type="dxa"/>
              <w:left w:w="108" w:type="dxa"/>
              <w:bottom w:w="0" w:type="dxa"/>
              <w:right w:w="108" w:type="dxa"/>
            </w:tcMar>
            <w:hideMark/>
          </w:tcPr>
          <w:p w14:paraId="33AB5EF7" w14:textId="77777777" w:rsidR="00734821" w:rsidRPr="00BF674F" w:rsidRDefault="00734821" w:rsidP="0067768C">
            <w:pPr>
              <w:spacing w:line="360" w:lineRule="atLeast"/>
              <w:jc w:val="both"/>
              <w:rPr>
                <w:sz w:val="28"/>
                <w:szCs w:val="28"/>
              </w:rPr>
            </w:pPr>
            <w:r w:rsidRPr="00BF674F">
              <w:rPr>
                <w:sz w:val="28"/>
                <w:szCs w:val="28"/>
                <w:lang w:val="el-GR"/>
              </w:rPr>
              <w:t>ΑΝΑΔΡΟΜΙΚΑ (2017 -2018) ΕΠΊ 36 ΜΗΝΕΣ Ή ΑΠΟ ΕΙΔΟΠ.1</w:t>
            </w:r>
            <w:r w:rsidRPr="00BF674F">
              <w:rPr>
                <w:sz w:val="28"/>
                <w:szCs w:val="28"/>
                <w:vertAlign w:val="superscript"/>
                <w:lang w:val="el-GR"/>
              </w:rPr>
              <w:t>ου</w:t>
            </w:r>
            <w:r w:rsidRPr="00BF674F">
              <w:rPr>
                <w:sz w:val="28"/>
                <w:szCs w:val="28"/>
                <w:lang w:val="el-GR"/>
              </w:rPr>
              <w:t> 2019 ΕΩΣ ΕΙΔΟΠ. 12</w:t>
            </w:r>
            <w:r w:rsidRPr="00BF674F">
              <w:rPr>
                <w:sz w:val="28"/>
                <w:szCs w:val="28"/>
                <w:vertAlign w:val="superscript"/>
                <w:lang w:val="el-GR"/>
              </w:rPr>
              <w:t>ου</w:t>
            </w:r>
            <w:r w:rsidRPr="00BF674F">
              <w:rPr>
                <w:sz w:val="28"/>
                <w:szCs w:val="28"/>
                <w:lang w:val="el-GR"/>
              </w:rPr>
              <w:t>2021</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tcPr>
          <w:p w14:paraId="50670AB0" w14:textId="77777777" w:rsidR="00734821" w:rsidRPr="00BF674F" w:rsidRDefault="00734821" w:rsidP="0067768C">
            <w:pPr>
              <w:spacing w:line="360" w:lineRule="atLeast"/>
              <w:jc w:val="both"/>
              <w:rPr>
                <w:sz w:val="28"/>
                <w:szCs w:val="28"/>
              </w:rPr>
            </w:pPr>
          </w:p>
          <w:p w14:paraId="1C11DD6D" w14:textId="77777777" w:rsidR="00734821" w:rsidRPr="00BF674F" w:rsidRDefault="00734821" w:rsidP="0067768C">
            <w:pPr>
              <w:spacing w:line="360" w:lineRule="atLeast"/>
              <w:jc w:val="both"/>
              <w:rPr>
                <w:sz w:val="28"/>
                <w:szCs w:val="28"/>
              </w:rPr>
            </w:pPr>
          </w:p>
          <w:p w14:paraId="7468701E" w14:textId="77777777" w:rsidR="00734821" w:rsidRPr="00BF674F" w:rsidRDefault="00734821" w:rsidP="0067768C">
            <w:pPr>
              <w:spacing w:line="360" w:lineRule="atLeast"/>
              <w:jc w:val="both"/>
              <w:rPr>
                <w:sz w:val="28"/>
                <w:szCs w:val="28"/>
              </w:rPr>
            </w:pPr>
            <w:r w:rsidRPr="00BF674F">
              <w:rPr>
                <w:b/>
                <w:bCs/>
                <w:sz w:val="28"/>
                <w:szCs w:val="28"/>
                <w:lang w:val="el-GR"/>
              </w:rPr>
              <w:t>+ 27,35</w:t>
            </w:r>
          </w:p>
        </w:tc>
        <w:tc>
          <w:tcPr>
            <w:tcW w:w="252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tcPr>
          <w:p w14:paraId="65A220B6" w14:textId="77777777" w:rsidR="00734821" w:rsidRPr="00BF674F" w:rsidRDefault="00734821" w:rsidP="0067768C">
            <w:pPr>
              <w:spacing w:line="360" w:lineRule="atLeast"/>
              <w:jc w:val="both"/>
              <w:rPr>
                <w:sz w:val="28"/>
                <w:szCs w:val="28"/>
              </w:rPr>
            </w:pPr>
          </w:p>
          <w:p w14:paraId="17CDE307" w14:textId="77777777" w:rsidR="00734821" w:rsidRPr="00BF674F" w:rsidRDefault="00734821" w:rsidP="0067768C">
            <w:pPr>
              <w:spacing w:line="360" w:lineRule="atLeast"/>
              <w:jc w:val="both"/>
              <w:rPr>
                <w:sz w:val="28"/>
                <w:szCs w:val="28"/>
              </w:rPr>
            </w:pPr>
          </w:p>
          <w:p w14:paraId="508B2F27" w14:textId="77777777" w:rsidR="00734821" w:rsidRPr="00BF674F" w:rsidRDefault="00734821" w:rsidP="0067768C">
            <w:pPr>
              <w:spacing w:line="360" w:lineRule="atLeast"/>
              <w:jc w:val="both"/>
              <w:rPr>
                <w:sz w:val="28"/>
                <w:szCs w:val="28"/>
              </w:rPr>
            </w:pPr>
            <w:r w:rsidRPr="00BF674F">
              <w:rPr>
                <w:b/>
                <w:bCs/>
                <w:sz w:val="28"/>
                <w:szCs w:val="28"/>
                <w:lang w:val="el-GR"/>
              </w:rPr>
              <w:t>+15,63</w:t>
            </w:r>
          </w:p>
        </w:tc>
        <w:tc>
          <w:tcPr>
            <w:tcW w:w="234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tcPr>
          <w:p w14:paraId="069CBA12" w14:textId="77777777" w:rsidR="00734821" w:rsidRPr="00BF674F" w:rsidRDefault="00734821" w:rsidP="0067768C">
            <w:pPr>
              <w:spacing w:line="360" w:lineRule="atLeast"/>
              <w:jc w:val="both"/>
              <w:rPr>
                <w:sz w:val="28"/>
                <w:szCs w:val="28"/>
              </w:rPr>
            </w:pPr>
          </w:p>
          <w:p w14:paraId="459B0248" w14:textId="77777777" w:rsidR="00734821" w:rsidRPr="00BF674F" w:rsidRDefault="00734821" w:rsidP="0067768C">
            <w:pPr>
              <w:spacing w:line="360" w:lineRule="atLeast"/>
              <w:jc w:val="both"/>
              <w:rPr>
                <w:sz w:val="28"/>
                <w:szCs w:val="28"/>
              </w:rPr>
            </w:pPr>
          </w:p>
          <w:p w14:paraId="66B35168" w14:textId="77777777" w:rsidR="00734821" w:rsidRPr="00BF674F" w:rsidRDefault="00734821" w:rsidP="0067768C">
            <w:pPr>
              <w:spacing w:line="360" w:lineRule="atLeast"/>
              <w:jc w:val="both"/>
              <w:rPr>
                <w:sz w:val="28"/>
                <w:szCs w:val="28"/>
              </w:rPr>
            </w:pPr>
            <w:r w:rsidRPr="00BF674F">
              <w:rPr>
                <w:b/>
                <w:bCs/>
                <w:sz w:val="28"/>
                <w:szCs w:val="28"/>
                <w:lang w:val="el-GR"/>
              </w:rPr>
              <w:t>+42,98</w:t>
            </w:r>
          </w:p>
        </w:tc>
      </w:tr>
      <w:tr w:rsidR="00734821" w:rsidRPr="00BF674F" w14:paraId="221212BA" w14:textId="77777777" w:rsidTr="00E47C08">
        <w:tc>
          <w:tcPr>
            <w:tcW w:w="2060" w:type="dxa"/>
            <w:tcBorders>
              <w:top w:val="single" w:sz="8" w:space="0" w:color="auto"/>
              <w:left w:val="single" w:sz="8" w:space="0" w:color="auto"/>
              <w:bottom w:val="single" w:sz="8" w:space="0" w:color="auto"/>
              <w:right w:val="single" w:sz="4" w:space="0" w:color="auto"/>
            </w:tcBorders>
            <w:shd w:val="clear" w:color="auto" w:fill="8496B0" w:themeFill="text2" w:themeFillTint="99"/>
            <w:tcMar>
              <w:top w:w="0" w:type="dxa"/>
              <w:left w:w="108" w:type="dxa"/>
              <w:bottom w:w="0" w:type="dxa"/>
              <w:right w:w="108" w:type="dxa"/>
            </w:tcMar>
            <w:hideMark/>
          </w:tcPr>
          <w:p w14:paraId="231A1F76" w14:textId="77777777" w:rsidR="00734821" w:rsidRPr="00BF674F" w:rsidRDefault="00734821" w:rsidP="0067768C">
            <w:pPr>
              <w:spacing w:line="360" w:lineRule="atLeast"/>
              <w:jc w:val="both"/>
              <w:rPr>
                <w:sz w:val="28"/>
                <w:szCs w:val="28"/>
              </w:rPr>
            </w:pPr>
            <w:r w:rsidRPr="00BF674F">
              <w:rPr>
                <w:sz w:val="28"/>
                <w:szCs w:val="28"/>
                <w:lang w:val="el-GR"/>
              </w:rPr>
              <w:t>ΣΥΝΟΛΟ ΕΙΔΟΠΟΙΗΤΗΡΙΟΥ</w:t>
            </w:r>
          </w:p>
        </w:tc>
        <w:tc>
          <w:tcPr>
            <w:tcW w:w="1440" w:type="dxa"/>
            <w:tcBorders>
              <w:top w:val="single" w:sz="4" w:space="0" w:color="auto"/>
              <w:left w:val="single" w:sz="4" w:space="0" w:color="auto"/>
              <w:bottom w:val="single" w:sz="4" w:space="0" w:color="auto"/>
              <w:right w:val="single" w:sz="4" w:space="0" w:color="auto"/>
            </w:tcBorders>
            <w:shd w:val="clear" w:color="auto" w:fill="8496B0" w:themeFill="text2" w:themeFillTint="99"/>
            <w:tcMar>
              <w:top w:w="0" w:type="dxa"/>
              <w:left w:w="108" w:type="dxa"/>
              <w:bottom w:w="0" w:type="dxa"/>
              <w:right w:w="108" w:type="dxa"/>
            </w:tcMar>
            <w:hideMark/>
          </w:tcPr>
          <w:p w14:paraId="3C35A784" w14:textId="77777777" w:rsidR="00734821" w:rsidRPr="00BF674F" w:rsidRDefault="00734821" w:rsidP="0067768C">
            <w:pPr>
              <w:spacing w:line="360" w:lineRule="atLeast"/>
              <w:jc w:val="both"/>
              <w:rPr>
                <w:sz w:val="28"/>
                <w:szCs w:val="28"/>
              </w:rPr>
            </w:pPr>
            <w:r w:rsidRPr="00BF674F">
              <w:rPr>
                <w:b/>
                <w:bCs/>
                <w:sz w:val="28"/>
                <w:szCs w:val="28"/>
                <w:lang w:val="el-GR"/>
              </w:rPr>
              <w:t>(45,50+27,35)</w:t>
            </w:r>
          </w:p>
          <w:p w14:paraId="71684EE3" w14:textId="77777777" w:rsidR="00734821" w:rsidRPr="00BF674F" w:rsidRDefault="00734821" w:rsidP="0067768C">
            <w:pPr>
              <w:spacing w:line="360" w:lineRule="atLeast"/>
              <w:jc w:val="both"/>
              <w:rPr>
                <w:sz w:val="28"/>
                <w:szCs w:val="28"/>
              </w:rPr>
            </w:pPr>
            <w:r w:rsidRPr="00BF674F">
              <w:rPr>
                <w:b/>
                <w:bCs/>
                <w:sz w:val="28"/>
                <w:szCs w:val="28"/>
                <w:lang w:val="el-GR"/>
              </w:rPr>
              <w:t>72,80</w:t>
            </w:r>
          </w:p>
        </w:tc>
        <w:tc>
          <w:tcPr>
            <w:tcW w:w="2520" w:type="dxa"/>
            <w:tcBorders>
              <w:top w:val="single" w:sz="4" w:space="0" w:color="auto"/>
              <w:left w:val="single" w:sz="4" w:space="0" w:color="auto"/>
              <w:bottom w:val="single" w:sz="4" w:space="0" w:color="auto"/>
              <w:right w:val="single" w:sz="4" w:space="0" w:color="auto"/>
            </w:tcBorders>
            <w:shd w:val="clear" w:color="auto" w:fill="8496B0" w:themeFill="text2" w:themeFillTint="99"/>
            <w:tcMar>
              <w:top w:w="0" w:type="dxa"/>
              <w:left w:w="108" w:type="dxa"/>
              <w:bottom w:w="0" w:type="dxa"/>
              <w:right w:w="108" w:type="dxa"/>
            </w:tcMar>
            <w:hideMark/>
          </w:tcPr>
          <w:p w14:paraId="49A755CC" w14:textId="77777777" w:rsidR="00734821" w:rsidRPr="00BF674F" w:rsidRDefault="00734821" w:rsidP="0067768C">
            <w:pPr>
              <w:spacing w:line="360" w:lineRule="atLeast"/>
              <w:jc w:val="both"/>
              <w:rPr>
                <w:sz w:val="28"/>
                <w:szCs w:val="28"/>
              </w:rPr>
            </w:pPr>
            <w:r w:rsidRPr="00BF674F">
              <w:rPr>
                <w:b/>
                <w:bCs/>
                <w:sz w:val="28"/>
                <w:szCs w:val="28"/>
                <w:lang w:val="el-GR"/>
              </w:rPr>
              <w:t>(26+15,63)</w:t>
            </w:r>
          </w:p>
          <w:p w14:paraId="33934C5A" w14:textId="77777777" w:rsidR="00734821" w:rsidRPr="00BF674F" w:rsidRDefault="00734821" w:rsidP="0067768C">
            <w:pPr>
              <w:spacing w:line="360" w:lineRule="atLeast"/>
              <w:jc w:val="both"/>
              <w:rPr>
                <w:sz w:val="28"/>
                <w:szCs w:val="28"/>
              </w:rPr>
            </w:pPr>
            <w:r w:rsidRPr="00BF674F">
              <w:rPr>
                <w:b/>
                <w:bCs/>
                <w:sz w:val="28"/>
                <w:szCs w:val="28"/>
                <w:lang w:val="el-GR"/>
              </w:rPr>
              <w:t>41,63</w:t>
            </w:r>
          </w:p>
        </w:tc>
        <w:tc>
          <w:tcPr>
            <w:tcW w:w="2340" w:type="dxa"/>
            <w:tcBorders>
              <w:top w:val="single" w:sz="4" w:space="0" w:color="auto"/>
              <w:left w:val="single" w:sz="4" w:space="0" w:color="auto"/>
              <w:bottom w:val="single" w:sz="4" w:space="0" w:color="auto"/>
              <w:right w:val="single" w:sz="4" w:space="0" w:color="auto"/>
            </w:tcBorders>
            <w:shd w:val="clear" w:color="auto" w:fill="8496B0" w:themeFill="text2" w:themeFillTint="99"/>
            <w:tcMar>
              <w:top w:w="0" w:type="dxa"/>
              <w:left w:w="108" w:type="dxa"/>
              <w:bottom w:w="0" w:type="dxa"/>
              <w:right w:w="108" w:type="dxa"/>
            </w:tcMar>
          </w:tcPr>
          <w:p w14:paraId="34E4D8FC" w14:textId="77777777" w:rsidR="00734821" w:rsidRPr="00BF674F" w:rsidRDefault="00734821" w:rsidP="0067768C">
            <w:pPr>
              <w:spacing w:line="360" w:lineRule="atLeast"/>
              <w:jc w:val="both"/>
              <w:rPr>
                <w:sz w:val="28"/>
                <w:szCs w:val="28"/>
              </w:rPr>
            </w:pPr>
          </w:p>
          <w:p w14:paraId="4A650F8B" w14:textId="77777777" w:rsidR="00734821" w:rsidRPr="00BF674F" w:rsidRDefault="00734821" w:rsidP="0067768C">
            <w:pPr>
              <w:spacing w:line="360" w:lineRule="atLeast"/>
              <w:jc w:val="both"/>
              <w:rPr>
                <w:sz w:val="28"/>
                <w:szCs w:val="28"/>
              </w:rPr>
            </w:pPr>
            <w:r w:rsidRPr="00BF674F">
              <w:rPr>
                <w:b/>
                <w:bCs/>
                <w:sz w:val="28"/>
                <w:szCs w:val="28"/>
                <w:lang w:val="el-GR"/>
              </w:rPr>
              <w:t>114,43</w:t>
            </w:r>
          </w:p>
        </w:tc>
      </w:tr>
    </w:tbl>
    <w:p w14:paraId="2A652B22" w14:textId="77777777" w:rsidR="00734821" w:rsidRPr="00BF674F" w:rsidRDefault="00734821" w:rsidP="0067768C">
      <w:pPr>
        <w:spacing w:line="360" w:lineRule="atLeast"/>
        <w:jc w:val="both"/>
        <w:rPr>
          <w:sz w:val="28"/>
          <w:szCs w:val="28"/>
          <w:lang w:val="el-GR"/>
        </w:rPr>
      </w:pPr>
      <w:r w:rsidRPr="00BF674F">
        <w:rPr>
          <w:sz w:val="28"/>
          <w:szCs w:val="28"/>
          <w:u w:val="single"/>
          <w:lang w:val="el-GR"/>
        </w:rPr>
        <w:t>Συμπερασματικά</w:t>
      </w:r>
      <w:r w:rsidRPr="00BF674F">
        <w:rPr>
          <w:sz w:val="28"/>
          <w:szCs w:val="28"/>
          <w:lang w:val="el-GR"/>
        </w:rPr>
        <w:t> οι μεν δικηγόροι (πλην Αθηνών) θα λάβουν ειδοποιητήριο ΕΤΕΑΕΠ 72,80 ευρώ το μήνα (τακτική εισφορά και αναδρομική), οι υπόλοιποι ασφαλισμένοι θα λάβουν ειδοποιητήριο ΕΤΕΑΕΠ 114,43 ευρώ το μήνα (τακτική εισφορά και αναδρομική).</w:t>
      </w:r>
    </w:p>
    <w:p w14:paraId="112F02DE" w14:textId="77777777" w:rsidR="00734821" w:rsidRPr="00BF674F" w:rsidRDefault="00734821" w:rsidP="0067768C">
      <w:pPr>
        <w:spacing w:line="360" w:lineRule="atLeast"/>
        <w:jc w:val="both"/>
        <w:rPr>
          <w:sz w:val="28"/>
          <w:szCs w:val="28"/>
          <w:lang w:val="el-GR"/>
        </w:rPr>
      </w:pPr>
      <w:r w:rsidRPr="00BF674F">
        <w:rPr>
          <w:b/>
          <w:bCs/>
          <w:sz w:val="28"/>
          <w:szCs w:val="28"/>
          <w:lang w:val="el-GR"/>
        </w:rPr>
        <w:t>ΑΣΦΑΛΙΣΜΕΝΟΙ ΚΑΤΩ ΠΕΝΤΑΕΤΙΑΣ ΕΙΔΟΠΟΙΗΤΗΡΙΟ ΕΤΕΑΕΠ</w:t>
      </w:r>
    </w:p>
    <w:tbl>
      <w:tblPr>
        <w:tblW w:w="8355" w:type="dxa"/>
        <w:shd w:val="clear" w:color="auto" w:fill="1D1D1D"/>
        <w:tblCellMar>
          <w:left w:w="0" w:type="dxa"/>
          <w:right w:w="0" w:type="dxa"/>
        </w:tblCellMar>
        <w:tblLook w:val="04A0" w:firstRow="1" w:lastRow="0" w:firstColumn="1" w:lastColumn="0" w:noHBand="0" w:noVBand="1"/>
      </w:tblPr>
      <w:tblGrid>
        <w:gridCol w:w="2270"/>
        <w:gridCol w:w="2186"/>
        <w:gridCol w:w="2328"/>
        <w:gridCol w:w="1571"/>
      </w:tblGrid>
      <w:tr w:rsidR="00734821" w:rsidRPr="00BF674F" w14:paraId="74AAE3EA" w14:textId="77777777" w:rsidTr="00E47C08">
        <w:tc>
          <w:tcPr>
            <w:tcW w:w="2027"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538DCB86" w14:textId="77777777" w:rsidR="00734821" w:rsidRPr="00BF674F" w:rsidRDefault="00734821" w:rsidP="0067768C">
            <w:pPr>
              <w:spacing w:line="360" w:lineRule="atLeast"/>
              <w:jc w:val="both"/>
              <w:rPr>
                <w:sz w:val="28"/>
                <w:szCs w:val="28"/>
              </w:rPr>
            </w:pPr>
            <w:r w:rsidRPr="00BF674F">
              <w:rPr>
                <w:b/>
                <w:bCs/>
                <w:sz w:val="28"/>
                <w:szCs w:val="28"/>
                <w:lang w:val="el-GR"/>
              </w:rPr>
              <w:t>ΕΛΑΧΙΣΤΗ ΒΑΣΗ</w:t>
            </w:r>
          </w:p>
        </w:tc>
        <w:tc>
          <w:tcPr>
            <w:tcW w:w="1764"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01C5BB76" w14:textId="77777777" w:rsidR="00734821" w:rsidRPr="00BF674F" w:rsidRDefault="00734821" w:rsidP="0067768C">
            <w:pPr>
              <w:spacing w:line="360" w:lineRule="atLeast"/>
              <w:jc w:val="both"/>
              <w:rPr>
                <w:sz w:val="28"/>
                <w:szCs w:val="28"/>
              </w:rPr>
            </w:pPr>
            <w:r w:rsidRPr="00BF674F">
              <w:rPr>
                <w:b/>
                <w:bCs/>
                <w:sz w:val="28"/>
                <w:szCs w:val="28"/>
                <w:lang w:val="el-GR"/>
              </w:rPr>
              <w:t>ΕΠΙΚΟΥΡΙΚΗ 7% (ΑΠΑΝΤΕΣ ΠΛΗΝ ΥΓΕΙΟΝΟΜΙΚΩΝ)</w:t>
            </w:r>
          </w:p>
        </w:tc>
        <w:tc>
          <w:tcPr>
            <w:tcW w:w="2419"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19B540F0" w14:textId="77777777" w:rsidR="00734821" w:rsidRPr="00BF674F" w:rsidRDefault="00734821" w:rsidP="0067768C">
            <w:pPr>
              <w:spacing w:line="360" w:lineRule="atLeast"/>
              <w:jc w:val="both"/>
              <w:rPr>
                <w:sz w:val="28"/>
                <w:szCs w:val="28"/>
                <w:lang w:val="el-GR"/>
              </w:rPr>
            </w:pPr>
            <w:r w:rsidRPr="00BF674F">
              <w:rPr>
                <w:b/>
                <w:bCs/>
                <w:sz w:val="28"/>
                <w:szCs w:val="28"/>
                <w:lang w:val="el-GR"/>
              </w:rPr>
              <w:t>ΠΡΟΝΟΙΑ 4% (ΔΙΚΗΓΟΡΟΙ ΑΘΗΝΩΝ, ΣΥΜΒ/ΦΟΙ, ΔΙΚ.ΕΠΙΜΕΛΗΤΕΣ, ΜΗΧΑΝΙΚΟΙ, ΥΓΕΙΟΝΟΜΙΚΟΙ)</w:t>
            </w:r>
          </w:p>
        </w:tc>
        <w:tc>
          <w:tcPr>
            <w:tcW w:w="2145"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top w:w="0" w:type="dxa"/>
              <w:left w:w="108" w:type="dxa"/>
              <w:bottom w:w="0" w:type="dxa"/>
              <w:right w:w="108" w:type="dxa"/>
            </w:tcMar>
            <w:hideMark/>
          </w:tcPr>
          <w:p w14:paraId="5988EAF7" w14:textId="77777777" w:rsidR="00734821" w:rsidRPr="00BF674F" w:rsidRDefault="00734821" w:rsidP="0067768C">
            <w:pPr>
              <w:spacing w:line="360" w:lineRule="atLeast"/>
              <w:jc w:val="both"/>
              <w:rPr>
                <w:sz w:val="28"/>
                <w:szCs w:val="28"/>
              </w:rPr>
            </w:pPr>
            <w:r w:rsidRPr="00BF674F">
              <w:rPr>
                <w:b/>
                <w:bCs/>
                <w:sz w:val="28"/>
                <w:szCs w:val="28"/>
              </w:rPr>
              <w:t>ΣΥΝΟΛΟ</w:t>
            </w:r>
          </w:p>
        </w:tc>
      </w:tr>
      <w:tr w:rsidR="00734821" w:rsidRPr="00BF674F" w14:paraId="0B7F59E9" w14:textId="77777777" w:rsidTr="00E47C08">
        <w:tc>
          <w:tcPr>
            <w:tcW w:w="202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5AF66E35" w14:textId="77777777" w:rsidR="00734821" w:rsidRPr="00BF674F" w:rsidRDefault="00734821" w:rsidP="0067768C">
            <w:pPr>
              <w:spacing w:line="360" w:lineRule="atLeast"/>
              <w:jc w:val="both"/>
              <w:rPr>
                <w:sz w:val="28"/>
                <w:szCs w:val="28"/>
              </w:rPr>
            </w:pPr>
            <w:r w:rsidRPr="00BF674F">
              <w:rPr>
                <w:b/>
                <w:bCs/>
                <w:sz w:val="28"/>
                <w:szCs w:val="28"/>
              </w:rPr>
              <w:t>2017-8 (</w:t>
            </w:r>
            <w:r w:rsidRPr="00BF674F">
              <w:rPr>
                <w:b/>
                <w:bCs/>
                <w:sz w:val="28"/>
                <w:szCs w:val="28"/>
                <w:lang w:val="el-GR"/>
              </w:rPr>
              <w:t>410,26</w:t>
            </w:r>
            <w:r w:rsidRPr="00BF674F">
              <w:rPr>
                <w:b/>
                <w:bCs/>
                <w:sz w:val="28"/>
                <w:szCs w:val="28"/>
              </w:rPr>
              <w:t>)</w:t>
            </w:r>
          </w:p>
          <w:p w14:paraId="3AEEDE2A" w14:textId="77777777" w:rsidR="00734821" w:rsidRPr="00BF674F" w:rsidRDefault="00734821" w:rsidP="0067768C">
            <w:pPr>
              <w:spacing w:line="360" w:lineRule="atLeast"/>
              <w:jc w:val="both"/>
              <w:rPr>
                <w:sz w:val="28"/>
                <w:szCs w:val="28"/>
              </w:rPr>
            </w:pPr>
            <w:r w:rsidRPr="00BF674F">
              <w:rPr>
                <w:b/>
                <w:bCs/>
                <w:sz w:val="28"/>
                <w:szCs w:val="28"/>
                <w:lang w:val="el-GR"/>
              </w:rPr>
              <w:t>Ή 586,08 Χ 70%</w:t>
            </w:r>
          </w:p>
        </w:tc>
        <w:tc>
          <w:tcPr>
            <w:tcW w:w="1764"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8CDD536" w14:textId="77777777" w:rsidR="00734821" w:rsidRPr="00BF674F" w:rsidRDefault="00734821" w:rsidP="0067768C">
            <w:pPr>
              <w:spacing w:line="360" w:lineRule="atLeast"/>
              <w:jc w:val="both"/>
              <w:rPr>
                <w:sz w:val="28"/>
                <w:szCs w:val="28"/>
              </w:rPr>
            </w:pPr>
          </w:p>
          <w:p w14:paraId="0B795E4C" w14:textId="77777777" w:rsidR="00734821" w:rsidRPr="00BF674F" w:rsidRDefault="00734821" w:rsidP="0067768C">
            <w:pPr>
              <w:spacing w:line="360" w:lineRule="atLeast"/>
              <w:jc w:val="both"/>
              <w:rPr>
                <w:sz w:val="28"/>
                <w:szCs w:val="28"/>
              </w:rPr>
            </w:pPr>
            <w:r w:rsidRPr="00BF674F">
              <w:rPr>
                <w:b/>
                <w:bCs/>
                <w:sz w:val="28"/>
                <w:szCs w:val="28"/>
                <w:lang w:val="el-GR"/>
              </w:rPr>
              <w:t>28,71</w:t>
            </w:r>
          </w:p>
        </w:tc>
        <w:tc>
          <w:tcPr>
            <w:tcW w:w="2419"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A234FD1" w14:textId="77777777" w:rsidR="00734821" w:rsidRPr="00BF674F" w:rsidRDefault="00734821" w:rsidP="0067768C">
            <w:pPr>
              <w:spacing w:line="360" w:lineRule="atLeast"/>
              <w:jc w:val="both"/>
              <w:rPr>
                <w:sz w:val="28"/>
                <w:szCs w:val="28"/>
              </w:rPr>
            </w:pPr>
          </w:p>
          <w:p w14:paraId="47B9E655" w14:textId="77777777" w:rsidR="00734821" w:rsidRPr="00BF674F" w:rsidRDefault="00734821" w:rsidP="0067768C">
            <w:pPr>
              <w:spacing w:line="360" w:lineRule="atLeast"/>
              <w:jc w:val="both"/>
              <w:rPr>
                <w:sz w:val="28"/>
                <w:szCs w:val="28"/>
              </w:rPr>
            </w:pPr>
            <w:r w:rsidRPr="00BF674F">
              <w:rPr>
                <w:b/>
                <w:bCs/>
                <w:sz w:val="28"/>
                <w:szCs w:val="28"/>
                <w:lang w:val="el-GR"/>
              </w:rPr>
              <w:t>16,41</w:t>
            </w:r>
          </w:p>
        </w:tc>
        <w:tc>
          <w:tcPr>
            <w:tcW w:w="2145"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1C629D0" w14:textId="77777777" w:rsidR="00734821" w:rsidRPr="00BF674F" w:rsidRDefault="00734821" w:rsidP="0067768C">
            <w:pPr>
              <w:spacing w:line="360" w:lineRule="atLeast"/>
              <w:jc w:val="both"/>
              <w:rPr>
                <w:sz w:val="28"/>
                <w:szCs w:val="28"/>
              </w:rPr>
            </w:pPr>
          </w:p>
          <w:p w14:paraId="6A3EEFB8" w14:textId="77777777" w:rsidR="00734821" w:rsidRPr="00BF674F" w:rsidRDefault="00734821" w:rsidP="0067768C">
            <w:pPr>
              <w:spacing w:line="360" w:lineRule="atLeast"/>
              <w:jc w:val="both"/>
              <w:rPr>
                <w:sz w:val="28"/>
                <w:szCs w:val="28"/>
              </w:rPr>
            </w:pPr>
            <w:r w:rsidRPr="00BF674F">
              <w:rPr>
                <w:b/>
                <w:bCs/>
                <w:sz w:val="28"/>
                <w:szCs w:val="28"/>
                <w:lang w:val="el-GR"/>
              </w:rPr>
              <w:t>45,12</w:t>
            </w:r>
          </w:p>
        </w:tc>
      </w:tr>
      <w:tr w:rsidR="00734821" w:rsidRPr="00BF674F" w14:paraId="116E3A44" w14:textId="77777777" w:rsidTr="00E47C08">
        <w:trPr>
          <w:trHeight w:val="655"/>
        </w:trPr>
        <w:tc>
          <w:tcPr>
            <w:tcW w:w="202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FA900FC" w14:textId="77777777" w:rsidR="00734821" w:rsidRPr="00BF674F" w:rsidRDefault="00734821" w:rsidP="0067768C">
            <w:pPr>
              <w:spacing w:line="360" w:lineRule="atLeast"/>
              <w:jc w:val="both"/>
              <w:rPr>
                <w:sz w:val="28"/>
                <w:szCs w:val="28"/>
              </w:rPr>
            </w:pPr>
            <w:r w:rsidRPr="00BF674F">
              <w:rPr>
                <w:b/>
                <w:bCs/>
                <w:sz w:val="28"/>
                <w:szCs w:val="28"/>
                <w:lang w:val="el-GR"/>
              </w:rPr>
              <w:t>2019 (455,00)</w:t>
            </w:r>
          </w:p>
          <w:p w14:paraId="01978603" w14:textId="77777777" w:rsidR="00734821" w:rsidRPr="00BF674F" w:rsidRDefault="00734821" w:rsidP="0067768C">
            <w:pPr>
              <w:spacing w:line="360" w:lineRule="atLeast"/>
              <w:jc w:val="both"/>
              <w:rPr>
                <w:sz w:val="28"/>
                <w:szCs w:val="28"/>
              </w:rPr>
            </w:pPr>
            <w:r w:rsidRPr="00BF674F">
              <w:rPr>
                <w:b/>
                <w:bCs/>
                <w:sz w:val="28"/>
                <w:szCs w:val="28"/>
                <w:lang w:val="el-GR"/>
              </w:rPr>
              <w:t>Ή 650 Χ 70%</w:t>
            </w:r>
          </w:p>
        </w:tc>
        <w:tc>
          <w:tcPr>
            <w:tcW w:w="1764" w:type="dxa"/>
            <w:tcBorders>
              <w:top w:val="nil"/>
              <w:left w:val="nil"/>
              <w:bottom w:val="single" w:sz="4" w:space="0" w:color="auto"/>
              <w:right w:val="single" w:sz="8" w:space="0" w:color="auto"/>
            </w:tcBorders>
            <w:shd w:val="clear" w:color="auto" w:fill="B4C6E7" w:themeFill="accent1" w:themeFillTint="66"/>
            <w:tcMar>
              <w:top w:w="0" w:type="dxa"/>
              <w:left w:w="108" w:type="dxa"/>
              <w:bottom w:w="0" w:type="dxa"/>
              <w:right w:w="108" w:type="dxa"/>
            </w:tcMar>
            <w:hideMark/>
          </w:tcPr>
          <w:p w14:paraId="2CFCD8FD" w14:textId="77777777" w:rsidR="00734821" w:rsidRPr="00BF674F" w:rsidRDefault="00734821" w:rsidP="0067768C">
            <w:pPr>
              <w:spacing w:line="360" w:lineRule="atLeast"/>
              <w:jc w:val="both"/>
              <w:rPr>
                <w:sz w:val="28"/>
                <w:szCs w:val="28"/>
              </w:rPr>
            </w:pPr>
          </w:p>
          <w:p w14:paraId="7B1D28B7" w14:textId="77777777" w:rsidR="00734821" w:rsidRPr="00BF674F" w:rsidRDefault="00734821" w:rsidP="0067768C">
            <w:pPr>
              <w:spacing w:line="360" w:lineRule="atLeast"/>
              <w:jc w:val="both"/>
              <w:rPr>
                <w:sz w:val="28"/>
                <w:szCs w:val="28"/>
              </w:rPr>
            </w:pPr>
            <w:r w:rsidRPr="00BF674F">
              <w:rPr>
                <w:b/>
                <w:bCs/>
                <w:sz w:val="28"/>
                <w:szCs w:val="28"/>
                <w:lang w:val="el-GR"/>
              </w:rPr>
              <w:t>31,85</w:t>
            </w:r>
          </w:p>
        </w:tc>
        <w:tc>
          <w:tcPr>
            <w:tcW w:w="2419" w:type="dxa"/>
            <w:tcBorders>
              <w:top w:val="nil"/>
              <w:left w:val="nil"/>
              <w:bottom w:val="single" w:sz="4" w:space="0" w:color="auto"/>
              <w:right w:val="single" w:sz="8" w:space="0" w:color="auto"/>
            </w:tcBorders>
            <w:shd w:val="clear" w:color="auto" w:fill="B4C6E7" w:themeFill="accent1" w:themeFillTint="66"/>
            <w:tcMar>
              <w:top w:w="0" w:type="dxa"/>
              <w:left w:w="108" w:type="dxa"/>
              <w:bottom w:w="0" w:type="dxa"/>
              <w:right w:w="108" w:type="dxa"/>
            </w:tcMar>
            <w:hideMark/>
          </w:tcPr>
          <w:p w14:paraId="28AFF2C6" w14:textId="77777777" w:rsidR="00734821" w:rsidRPr="00BF674F" w:rsidRDefault="00734821" w:rsidP="0067768C">
            <w:pPr>
              <w:spacing w:line="360" w:lineRule="atLeast"/>
              <w:jc w:val="both"/>
              <w:rPr>
                <w:sz w:val="28"/>
                <w:szCs w:val="28"/>
              </w:rPr>
            </w:pPr>
          </w:p>
          <w:p w14:paraId="01016296" w14:textId="77777777" w:rsidR="00734821" w:rsidRPr="00BF674F" w:rsidRDefault="00734821" w:rsidP="0067768C">
            <w:pPr>
              <w:spacing w:line="360" w:lineRule="atLeast"/>
              <w:jc w:val="both"/>
              <w:rPr>
                <w:sz w:val="28"/>
                <w:szCs w:val="28"/>
              </w:rPr>
            </w:pPr>
            <w:r w:rsidRPr="00BF674F">
              <w:rPr>
                <w:b/>
                <w:bCs/>
                <w:sz w:val="28"/>
                <w:szCs w:val="28"/>
                <w:lang w:val="el-GR"/>
              </w:rPr>
              <w:t>18,20</w:t>
            </w:r>
          </w:p>
        </w:tc>
        <w:tc>
          <w:tcPr>
            <w:tcW w:w="2145" w:type="dxa"/>
            <w:tcBorders>
              <w:top w:val="nil"/>
              <w:left w:val="nil"/>
              <w:bottom w:val="single" w:sz="4" w:space="0" w:color="auto"/>
              <w:right w:val="single" w:sz="8" w:space="0" w:color="auto"/>
            </w:tcBorders>
            <w:shd w:val="clear" w:color="auto" w:fill="B4C6E7" w:themeFill="accent1" w:themeFillTint="66"/>
            <w:tcMar>
              <w:top w:w="0" w:type="dxa"/>
              <w:left w:w="108" w:type="dxa"/>
              <w:bottom w:w="0" w:type="dxa"/>
              <w:right w:w="108" w:type="dxa"/>
            </w:tcMar>
            <w:hideMark/>
          </w:tcPr>
          <w:p w14:paraId="2D2FC100" w14:textId="77777777" w:rsidR="00734821" w:rsidRPr="00BF674F" w:rsidRDefault="00734821" w:rsidP="0067768C">
            <w:pPr>
              <w:spacing w:line="360" w:lineRule="atLeast"/>
              <w:jc w:val="both"/>
              <w:rPr>
                <w:sz w:val="28"/>
                <w:szCs w:val="28"/>
              </w:rPr>
            </w:pPr>
          </w:p>
          <w:p w14:paraId="1C0BF2CC" w14:textId="77777777" w:rsidR="00734821" w:rsidRPr="00BF674F" w:rsidRDefault="00734821" w:rsidP="0067768C">
            <w:pPr>
              <w:spacing w:line="360" w:lineRule="atLeast"/>
              <w:jc w:val="both"/>
              <w:rPr>
                <w:sz w:val="28"/>
                <w:szCs w:val="28"/>
              </w:rPr>
            </w:pPr>
            <w:r w:rsidRPr="00BF674F">
              <w:rPr>
                <w:b/>
                <w:bCs/>
                <w:sz w:val="28"/>
                <w:szCs w:val="28"/>
                <w:lang w:val="el-GR"/>
              </w:rPr>
              <w:t>50,05</w:t>
            </w:r>
          </w:p>
        </w:tc>
      </w:tr>
      <w:tr w:rsidR="00734821" w:rsidRPr="00BF674F" w14:paraId="6F0D3417" w14:textId="77777777" w:rsidTr="00E47C08">
        <w:tc>
          <w:tcPr>
            <w:tcW w:w="2027" w:type="dxa"/>
            <w:tcBorders>
              <w:top w:val="single" w:sz="8" w:space="0" w:color="auto"/>
              <w:left w:val="single" w:sz="8" w:space="0" w:color="auto"/>
              <w:bottom w:val="single" w:sz="8" w:space="0" w:color="auto"/>
              <w:right w:val="single" w:sz="4" w:space="0" w:color="auto"/>
            </w:tcBorders>
            <w:shd w:val="clear" w:color="auto" w:fill="B4C6E7" w:themeFill="accent1" w:themeFillTint="66"/>
            <w:tcMar>
              <w:top w:w="0" w:type="dxa"/>
              <w:left w:w="108" w:type="dxa"/>
              <w:bottom w:w="0" w:type="dxa"/>
              <w:right w:w="108" w:type="dxa"/>
            </w:tcMar>
            <w:hideMark/>
          </w:tcPr>
          <w:p w14:paraId="4CBDFCBC" w14:textId="77777777" w:rsidR="00734821" w:rsidRPr="00BF674F" w:rsidRDefault="00734821" w:rsidP="0067768C">
            <w:pPr>
              <w:spacing w:line="360" w:lineRule="atLeast"/>
              <w:jc w:val="both"/>
              <w:rPr>
                <w:sz w:val="28"/>
                <w:szCs w:val="28"/>
              </w:rPr>
            </w:pPr>
            <w:r w:rsidRPr="00BF674F">
              <w:rPr>
                <w:b/>
                <w:bCs/>
                <w:sz w:val="28"/>
                <w:szCs w:val="28"/>
                <w:lang w:val="el-GR"/>
              </w:rPr>
              <w:t>ΑΥΞΗΣΗ</w:t>
            </w:r>
          </w:p>
        </w:tc>
        <w:tc>
          <w:tcPr>
            <w:tcW w:w="176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2F959911" w14:textId="77777777" w:rsidR="00734821" w:rsidRPr="00BF674F" w:rsidRDefault="00734821" w:rsidP="0067768C">
            <w:pPr>
              <w:spacing w:line="360" w:lineRule="atLeast"/>
              <w:jc w:val="both"/>
              <w:rPr>
                <w:sz w:val="28"/>
                <w:szCs w:val="28"/>
              </w:rPr>
            </w:pPr>
            <w:r w:rsidRPr="00BF674F">
              <w:rPr>
                <w:b/>
                <w:bCs/>
                <w:sz w:val="28"/>
                <w:szCs w:val="28"/>
                <w:lang w:val="el-GR"/>
              </w:rPr>
              <w:t>+3</w:t>
            </w:r>
            <w:r w:rsidRPr="00BF674F">
              <w:rPr>
                <w:b/>
                <w:bCs/>
                <w:sz w:val="28"/>
                <w:szCs w:val="28"/>
              </w:rPr>
              <w:t>,</w:t>
            </w:r>
            <w:r w:rsidRPr="00BF674F">
              <w:rPr>
                <w:b/>
                <w:bCs/>
                <w:sz w:val="28"/>
                <w:szCs w:val="28"/>
                <w:lang w:val="el-GR"/>
              </w:rPr>
              <w:t>14</w:t>
            </w:r>
          </w:p>
        </w:tc>
        <w:tc>
          <w:tcPr>
            <w:tcW w:w="241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191DFE64" w14:textId="77777777" w:rsidR="00734821" w:rsidRPr="00BF674F" w:rsidRDefault="00734821" w:rsidP="0067768C">
            <w:pPr>
              <w:spacing w:line="360" w:lineRule="atLeast"/>
              <w:jc w:val="both"/>
              <w:rPr>
                <w:sz w:val="28"/>
                <w:szCs w:val="28"/>
              </w:rPr>
            </w:pPr>
            <w:r w:rsidRPr="00BF674F">
              <w:rPr>
                <w:b/>
                <w:bCs/>
                <w:sz w:val="28"/>
                <w:szCs w:val="28"/>
                <w:lang w:val="el-GR"/>
              </w:rPr>
              <w:t>+1,79</w:t>
            </w:r>
          </w:p>
        </w:tc>
        <w:tc>
          <w:tcPr>
            <w:tcW w:w="214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2EB4F44F" w14:textId="77777777" w:rsidR="00734821" w:rsidRPr="00BF674F" w:rsidRDefault="00734821" w:rsidP="0067768C">
            <w:pPr>
              <w:spacing w:line="360" w:lineRule="atLeast"/>
              <w:jc w:val="both"/>
              <w:rPr>
                <w:sz w:val="28"/>
                <w:szCs w:val="28"/>
              </w:rPr>
            </w:pPr>
            <w:r w:rsidRPr="00BF674F">
              <w:rPr>
                <w:b/>
                <w:bCs/>
                <w:sz w:val="28"/>
                <w:szCs w:val="28"/>
                <w:lang w:val="el-GR"/>
              </w:rPr>
              <w:t>+4,93</w:t>
            </w:r>
          </w:p>
        </w:tc>
      </w:tr>
      <w:tr w:rsidR="00734821" w:rsidRPr="00BF674F" w14:paraId="04876B8D" w14:textId="77777777" w:rsidTr="00E47C08">
        <w:tc>
          <w:tcPr>
            <w:tcW w:w="2027" w:type="dxa"/>
            <w:tcBorders>
              <w:top w:val="single" w:sz="8" w:space="0" w:color="auto"/>
              <w:left w:val="single" w:sz="8" w:space="0" w:color="auto"/>
              <w:bottom w:val="single" w:sz="8" w:space="0" w:color="auto"/>
              <w:right w:val="single" w:sz="4" w:space="0" w:color="auto"/>
            </w:tcBorders>
            <w:shd w:val="clear" w:color="auto" w:fill="B4C6E7" w:themeFill="accent1" w:themeFillTint="66"/>
            <w:tcMar>
              <w:top w:w="0" w:type="dxa"/>
              <w:left w:w="108" w:type="dxa"/>
              <w:bottom w:w="0" w:type="dxa"/>
              <w:right w:w="108" w:type="dxa"/>
            </w:tcMar>
            <w:hideMark/>
          </w:tcPr>
          <w:p w14:paraId="68945BCD" w14:textId="77777777" w:rsidR="00734821" w:rsidRPr="00BF674F" w:rsidRDefault="00734821" w:rsidP="0067768C">
            <w:pPr>
              <w:spacing w:line="360" w:lineRule="atLeast"/>
              <w:jc w:val="both"/>
              <w:rPr>
                <w:sz w:val="28"/>
                <w:szCs w:val="28"/>
              </w:rPr>
            </w:pPr>
            <w:r w:rsidRPr="00BF674F">
              <w:rPr>
                <w:b/>
                <w:bCs/>
                <w:sz w:val="28"/>
                <w:szCs w:val="28"/>
                <w:lang w:val="el-GR"/>
              </w:rPr>
              <w:t>ΑΝΑΔΡΟΜΙΚΑ (2017 -2018) ΕΠΊ 36 ΜΗΝΕΣ Ή ΑΠΟ ΕΙΔΟΠ.1</w:t>
            </w:r>
            <w:r w:rsidRPr="00BF674F">
              <w:rPr>
                <w:b/>
                <w:bCs/>
                <w:sz w:val="28"/>
                <w:szCs w:val="28"/>
                <w:vertAlign w:val="superscript"/>
                <w:lang w:val="el-GR"/>
              </w:rPr>
              <w:t>ου</w:t>
            </w:r>
            <w:r w:rsidRPr="00BF674F">
              <w:rPr>
                <w:b/>
                <w:bCs/>
                <w:sz w:val="28"/>
                <w:szCs w:val="28"/>
                <w:lang w:val="el-GR"/>
              </w:rPr>
              <w:t>2019 ΕΩΣ ΕΙΔΟΠ. 12</w:t>
            </w:r>
            <w:r w:rsidRPr="00BF674F">
              <w:rPr>
                <w:b/>
                <w:bCs/>
                <w:sz w:val="28"/>
                <w:szCs w:val="28"/>
                <w:vertAlign w:val="superscript"/>
                <w:lang w:val="el-GR"/>
              </w:rPr>
              <w:t>ου</w:t>
            </w:r>
            <w:r w:rsidRPr="00BF674F">
              <w:rPr>
                <w:b/>
                <w:bCs/>
                <w:sz w:val="28"/>
                <w:szCs w:val="28"/>
                <w:lang w:val="el-GR"/>
              </w:rPr>
              <w:t> 2021</w:t>
            </w:r>
          </w:p>
        </w:tc>
        <w:tc>
          <w:tcPr>
            <w:tcW w:w="1764"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1E92B4A5" w14:textId="77777777" w:rsidR="00734821" w:rsidRPr="00BF674F" w:rsidRDefault="00734821" w:rsidP="0067768C">
            <w:pPr>
              <w:spacing w:line="360" w:lineRule="atLeast"/>
              <w:jc w:val="both"/>
              <w:rPr>
                <w:sz w:val="28"/>
                <w:szCs w:val="28"/>
              </w:rPr>
            </w:pPr>
          </w:p>
          <w:p w14:paraId="7D28EA5D" w14:textId="77777777" w:rsidR="00734821" w:rsidRPr="00BF674F" w:rsidRDefault="00734821" w:rsidP="0067768C">
            <w:pPr>
              <w:spacing w:line="360" w:lineRule="atLeast"/>
              <w:jc w:val="both"/>
              <w:rPr>
                <w:sz w:val="28"/>
                <w:szCs w:val="28"/>
              </w:rPr>
            </w:pPr>
          </w:p>
          <w:p w14:paraId="25B3FC7B" w14:textId="77777777" w:rsidR="00734821" w:rsidRPr="00BF674F" w:rsidRDefault="00734821" w:rsidP="0067768C">
            <w:pPr>
              <w:spacing w:line="360" w:lineRule="atLeast"/>
              <w:jc w:val="both"/>
              <w:rPr>
                <w:sz w:val="28"/>
                <w:szCs w:val="28"/>
              </w:rPr>
            </w:pPr>
            <w:r w:rsidRPr="00BF674F">
              <w:rPr>
                <w:b/>
                <w:bCs/>
                <w:sz w:val="28"/>
                <w:szCs w:val="28"/>
                <w:lang w:val="el-GR"/>
              </w:rPr>
              <w:t>+ 19,15</w:t>
            </w:r>
          </w:p>
        </w:tc>
        <w:tc>
          <w:tcPr>
            <w:tcW w:w="241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04E9B68E" w14:textId="77777777" w:rsidR="00734821" w:rsidRPr="00BF674F" w:rsidRDefault="00734821" w:rsidP="0067768C">
            <w:pPr>
              <w:spacing w:line="360" w:lineRule="atLeast"/>
              <w:jc w:val="both"/>
              <w:rPr>
                <w:sz w:val="28"/>
                <w:szCs w:val="28"/>
              </w:rPr>
            </w:pPr>
          </w:p>
          <w:p w14:paraId="150D1E16" w14:textId="77777777" w:rsidR="00734821" w:rsidRPr="00BF674F" w:rsidRDefault="00734821" w:rsidP="0067768C">
            <w:pPr>
              <w:spacing w:line="360" w:lineRule="atLeast"/>
              <w:jc w:val="both"/>
              <w:rPr>
                <w:sz w:val="28"/>
                <w:szCs w:val="28"/>
              </w:rPr>
            </w:pPr>
          </w:p>
          <w:p w14:paraId="3347E3D2" w14:textId="77777777" w:rsidR="00734821" w:rsidRPr="00BF674F" w:rsidRDefault="00734821" w:rsidP="0067768C">
            <w:pPr>
              <w:spacing w:line="360" w:lineRule="atLeast"/>
              <w:jc w:val="both"/>
              <w:rPr>
                <w:sz w:val="28"/>
                <w:szCs w:val="28"/>
              </w:rPr>
            </w:pPr>
            <w:r w:rsidRPr="00BF674F">
              <w:rPr>
                <w:b/>
                <w:bCs/>
                <w:sz w:val="28"/>
                <w:szCs w:val="28"/>
                <w:lang w:val="el-GR"/>
              </w:rPr>
              <w:t>+10,94</w:t>
            </w:r>
          </w:p>
        </w:tc>
        <w:tc>
          <w:tcPr>
            <w:tcW w:w="214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67FBC11C" w14:textId="77777777" w:rsidR="00734821" w:rsidRPr="00BF674F" w:rsidRDefault="00734821" w:rsidP="0067768C">
            <w:pPr>
              <w:spacing w:line="360" w:lineRule="atLeast"/>
              <w:jc w:val="both"/>
              <w:rPr>
                <w:sz w:val="28"/>
                <w:szCs w:val="28"/>
              </w:rPr>
            </w:pPr>
          </w:p>
          <w:p w14:paraId="402C3680" w14:textId="77777777" w:rsidR="00734821" w:rsidRPr="00BF674F" w:rsidRDefault="00734821" w:rsidP="0067768C">
            <w:pPr>
              <w:spacing w:line="360" w:lineRule="atLeast"/>
              <w:jc w:val="both"/>
              <w:rPr>
                <w:sz w:val="28"/>
                <w:szCs w:val="28"/>
              </w:rPr>
            </w:pPr>
          </w:p>
          <w:p w14:paraId="7B33927B" w14:textId="77777777" w:rsidR="00734821" w:rsidRPr="00BF674F" w:rsidRDefault="00734821" w:rsidP="0067768C">
            <w:pPr>
              <w:spacing w:line="360" w:lineRule="atLeast"/>
              <w:jc w:val="both"/>
              <w:rPr>
                <w:sz w:val="28"/>
                <w:szCs w:val="28"/>
              </w:rPr>
            </w:pPr>
            <w:r w:rsidRPr="00BF674F">
              <w:rPr>
                <w:b/>
                <w:bCs/>
                <w:sz w:val="28"/>
                <w:szCs w:val="28"/>
                <w:lang w:val="el-GR"/>
              </w:rPr>
              <w:t>+30,09</w:t>
            </w:r>
          </w:p>
        </w:tc>
      </w:tr>
      <w:tr w:rsidR="00734821" w:rsidRPr="00BF674F" w14:paraId="73A03818" w14:textId="77777777" w:rsidTr="00E47C08">
        <w:tc>
          <w:tcPr>
            <w:tcW w:w="2027"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5A35C53B" w14:textId="77777777" w:rsidR="00734821" w:rsidRPr="00BF674F" w:rsidRDefault="00734821" w:rsidP="0067768C">
            <w:pPr>
              <w:spacing w:line="360" w:lineRule="atLeast"/>
              <w:jc w:val="both"/>
              <w:rPr>
                <w:sz w:val="28"/>
                <w:szCs w:val="28"/>
              </w:rPr>
            </w:pPr>
            <w:r w:rsidRPr="00BF674F">
              <w:rPr>
                <w:b/>
                <w:bCs/>
                <w:sz w:val="28"/>
                <w:szCs w:val="28"/>
                <w:lang w:val="el-GR"/>
              </w:rPr>
              <w:t>ΣΥΝΟΛΟ ΕΙΔΟΠΟΙΗΤΗΡΙΟΥ</w:t>
            </w:r>
          </w:p>
        </w:tc>
        <w:tc>
          <w:tcPr>
            <w:tcW w:w="1764" w:type="dxa"/>
            <w:tcBorders>
              <w:top w:val="single" w:sz="4"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5BDC4D70" w14:textId="77777777" w:rsidR="00734821" w:rsidRPr="00BF674F" w:rsidRDefault="00734821" w:rsidP="0067768C">
            <w:pPr>
              <w:spacing w:line="360" w:lineRule="atLeast"/>
              <w:jc w:val="both"/>
              <w:rPr>
                <w:sz w:val="28"/>
                <w:szCs w:val="28"/>
              </w:rPr>
            </w:pPr>
            <w:r w:rsidRPr="00BF674F">
              <w:rPr>
                <w:b/>
                <w:bCs/>
                <w:sz w:val="28"/>
                <w:szCs w:val="28"/>
                <w:lang w:val="el-GR"/>
              </w:rPr>
              <w:t>(31,85+19,15)</w:t>
            </w:r>
          </w:p>
          <w:p w14:paraId="2D9395D5" w14:textId="77777777" w:rsidR="00734821" w:rsidRPr="00BF674F" w:rsidRDefault="00734821" w:rsidP="0067768C">
            <w:pPr>
              <w:spacing w:line="360" w:lineRule="atLeast"/>
              <w:jc w:val="both"/>
              <w:rPr>
                <w:sz w:val="28"/>
                <w:szCs w:val="28"/>
              </w:rPr>
            </w:pPr>
            <w:r w:rsidRPr="00BF674F">
              <w:rPr>
                <w:b/>
                <w:bCs/>
                <w:sz w:val="28"/>
                <w:szCs w:val="28"/>
                <w:lang w:val="el-GR"/>
              </w:rPr>
              <w:t>51,00</w:t>
            </w:r>
          </w:p>
        </w:tc>
        <w:tc>
          <w:tcPr>
            <w:tcW w:w="2419" w:type="dxa"/>
            <w:tcBorders>
              <w:top w:val="single" w:sz="4"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1E7E58C" w14:textId="77777777" w:rsidR="00734821" w:rsidRPr="00BF674F" w:rsidRDefault="00734821" w:rsidP="0067768C">
            <w:pPr>
              <w:spacing w:line="360" w:lineRule="atLeast"/>
              <w:jc w:val="both"/>
              <w:rPr>
                <w:sz w:val="28"/>
                <w:szCs w:val="28"/>
              </w:rPr>
            </w:pPr>
            <w:r w:rsidRPr="00BF674F">
              <w:rPr>
                <w:b/>
                <w:bCs/>
                <w:sz w:val="28"/>
                <w:szCs w:val="28"/>
                <w:lang w:val="el-GR"/>
              </w:rPr>
              <w:t>(26+15,63)</w:t>
            </w:r>
          </w:p>
          <w:p w14:paraId="085DE52F" w14:textId="77777777" w:rsidR="00734821" w:rsidRPr="00BF674F" w:rsidRDefault="00734821" w:rsidP="0067768C">
            <w:pPr>
              <w:spacing w:line="360" w:lineRule="atLeast"/>
              <w:jc w:val="both"/>
              <w:rPr>
                <w:sz w:val="28"/>
                <w:szCs w:val="28"/>
              </w:rPr>
            </w:pPr>
            <w:r w:rsidRPr="00BF674F">
              <w:rPr>
                <w:b/>
                <w:bCs/>
                <w:sz w:val="28"/>
                <w:szCs w:val="28"/>
                <w:lang w:val="el-GR"/>
              </w:rPr>
              <w:t>29,14</w:t>
            </w:r>
          </w:p>
        </w:tc>
        <w:tc>
          <w:tcPr>
            <w:tcW w:w="2145" w:type="dxa"/>
            <w:tcBorders>
              <w:top w:val="single" w:sz="4"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52DEDD4" w14:textId="77777777" w:rsidR="00734821" w:rsidRPr="00BF674F" w:rsidRDefault="00734821" w:rsidP="0067768C">
            <w:pPr>
              <w:spacing w:line="360" w:lineRule="atLeast"/>
              <w:jc w:val="both"/>
              <w:rPr>
                <w:sz w:val="28"/>
                <w:szCs w:val="28"/>
              </w:rPr>
            </w:pPr>
          </w:p>
          <w:p w14:paraId="1E09A8DF" w14:textId="77777777" w:rsidR="00734821" w:rsidRPr="00BF674F" w:rsidRDefault="00734821" w:rsidP="0067768C">
            <w:pPr>
              <w:spacing w:line="360" w:lineRule="atLeast"/>
              <w:jc w:val="both"/>
              <w:rPr>
                <w:sz w:val="28"/>
                <w:szCs w:val="28"/>
              </w:rPr>
            </w:pPr>
            <w:r w:rsidRPr="00BF674F">
              <w:rPr>
                <w:b/>
                <w:bCs/>
                <w:sz w:val="28"/>
                <w:szCs w:val="28"/>
                <w:lang w:val="el-GR"/>
              </w:rPr>
              <w:t>80,14</w:t>
            </w:r>
          </w:p>
        </w:tc>
      </w:tr>
    </w:tbl>
    <w:p w14:paraId="6494DCB0" w14:textId="77777777" w:rsidR="00734821" w:rsidRPr="00BF674F" w:rsidRDefault="00734821" w:rsidP="0067768C">
      <w:pPr>
        <w:spacing w:line="360" w:lineRule="atLeast"/>
        <w:jc w:val="both"/>
        <w:rPr>
          <w:sz w:val="28"/>
          <w:szCs w:val="28"/>
        </w:rPr>
      </w:pPr>
    </w:p>
    <w:p w14:paraId="3DE34266" w14:textId="77777777" w:rsidR="00734821" w:rsidRPr="00BF674F" w:rsidRDefault="00734821" w:rsidP="0067768C">
      <w:pPr>
        <w:spacing w:line="360" w:lineRule="atLeast"/>
        <w:jc w:val="both"/>
        <w:rPr>
          <w:sz w:val="28"/>
          <w:szCs w:val="28"/>
          <w:lang w:val="el-GR"/>
        </w:rPr>
      </w:pPr>
      <w:r w:rsidRPr="00BF674F">
        <w:rPr>
          <w:sz w:val="28"/>
          <w:szCs w:val="28"/>
          <w:u w:val="single"/>
          <w:lang w:val="el-GR"/>
        </w:rPr>
        <w:t>Συμπερασματικά </w:t>
      </w:r>
      <w:r w:rsidRPr="00BF674F">
        <w:rPr>
          <w:sz w:val="28"/>
          <w:szCs w:val="28"/>
          <w:lang w:val="el-GR"/>
        </w:rPr>
        <w:t>οι μεν δικηγόροι πλην Αθηνών (πενταετίας) θα λάβουν ειδοποιητήριο ΕΤΕΑΕΠ 51 ευρώ, ενώ οι υπόλοιποι ασφαλισμένοι θα λάβουν ειδοποιητήριο ΕΤΕΑΕΠ 80,14 ευρώ.</w:t>
      </w:r>
      <w:r w:rsidRPr="00BF674F">
        <w:rPr>
          <w:sz w:val="28"/>
          <w:szCs w:val="28"/>
          <w:lang w:val="el-GR"/>
        </w:rPr>
        <w:br/>
      </w:r>
      <w:r w:rsidRPr="00BF674F">
        <w:rPr>
          <w:b/>
          <w:bCs/>
          <w:sz w:val="28"/>
          <w:szCs w:val="28"/>
          <w:u w:val="single"/>
          <w:lang w:val="el-GR"/>
        </w:rPr>
        <w:t>ΣΗΜΕΙΩΣΗ:</w:t>
      </w:r>
      <w:r w:rsidRPr="00BF674F">
        <w:rPr>
          <w:b/>
          <w:bCs/>
          <w:sz w:val="28"/>
          <w:szCs w:val="28"/>
          <w:u w:val="single"/>
        </w:rPr>
        <w:t> </w:t>
      </w:r>
      <w:r w:rsidRPr="00BF674F">
        <w:rPr>
          <w:sz w:val="28"/>
          <w:szCs w:val="28"/>
          <w:lang w:val="el-GR"/>
        </w:rPr>
        <w:t>Θυμίζουμε πως η έκπτωση αυτή της πρώτης πενταετίας αποτελεί ασφαλιστική οφειλή για τον ΝΈΟ ασφαλισμένο που</w:t>
      </w:r>
      <w:r w:rsidRPr="00BF674F">
        <w:rPr>
          <w:sz w:val="28"/>
          <w:szCs w:val="28"/>
        </w:rPr>
        <w:t>  </w:t>
      </w:r>
      <w:r w:rsidRPr="00BF674F">
        <w:rPr>
          <w:sz w:val="28"/>
          <w:szCs w:val="28"/>
          <w:lang w:val="el-GR"/>
        </w:rPr>
        <w:t>εξοφλείται εξ ολοκλήρου μέχρι και τη συμπλήρωση δεκαπέντε (15)</w:t>
      </w:r>
      <w:r w:rsidRPr="00BF674F">
        <w:rPr>
          <w:sz w:val="28"/>
          <w:szCs w:val="28"/>
          <w:lang w:val="el-GR"/>
        </w:rPr>
        <w:br/>
        <w:t>ετών ασφάλισης (παρ. 3 άρθρου 39Α ν.4387/16) .</w:t>
      </w:r>
    </w:p>
    <w:p w14:paraId="52772390" w14:textId="77777777" w:rsidR="00734821" w:rsidRPr="00BF674F" w:rsidRDefault="00734821" w:rsidP="0067768C">
      <w:pPr>
        <w:spacing w:line="360" w:lineRule="atLeast"/>
        <w:jc w:val="both"/>
        <w:rPr>
          <w:sz w:val="28"/>
          <w:szCs w:val="28"/>
          <w:lang w:val="el-GR"/>
        </w:rPr>
      </w:pPr>
    </w:p>
    <w:p w14:paraId="3F9C235B" w14:textId="0D354E7C" w:rsidR="00734821" w:rsidRPr="00BF674F" w:rsidRDefault="00A32B61" w:rsidP="0067768C">
      <w:pPr>
        <w:spacing w:line="360" w:lineRule="atLeast"/>
        <w:jc w:val="both"/>
        <w:rPr>
          <w:b/>
          <w:sz w:val="28"/>
          <w:szCs w:val="28"/>
          <w:u w:val="single"/>
          <w:lang w:val="el-GR"/>
        </w:rPr>
      </w:pPr>
      <w:r w:rsidRPr="00BF674F">
        <w:rPr>
          <w:b/>
          <w:sz w:val="28"/>
          <w:szCs w:val="28"/>
          <w:u w:val="single"/>
          <w:lang w:val="el-GR"/>
        </w:rPr>
        <w:t>ΣΥΓΚΡΙΣΗ ΠΑΛΑΙΩΝ ΠΡΟ Ν.4387/2016 ΚΑΙ ΝΕΩΝ ΕΙΣΦΟΡΩΝ</w:t>
      </w:r>
    </w:p>
    <w:p w14:paraId="64051DF1" w14:textId="77777777" w:rsidR="00734821" w:rsidRPr="00BF674F" w:rsidRDefault="00734821" w:rsidP="0067768C">
      <w:pPr>
        <w:spacing w:line="360" w:lineRule="atLeast"/>
        <w:jc w:val="both"/>
        <w:rPr>
          <w:sz w:val="28"/>
          <w:szCs w:val="28"/>
          <w:lang w:val="el-GR"/>
        </w:rPr>
      </w:pPr>
      <w:r w:rsidRPr="00BF674F">
        <w:rPr>
          <w:sz w:val="28"/>
          <w:szCs w:val="28"/>
          <w:lang w:val="el-GR"/>
        </w:rPr>
        <w:t xml:space="preserve">Ανατρέχοντας στην Ανακοίνωση του ΤΑΝ για το 2016 θα δούμε ότι η εισφορά των παλαιών ασφαλισμένων </w:t>
      </w:r>
      <w:r w:rsidRPr="00BF674F">
        <w:rPr>
          <w:b/>
          <w:sz w:val="28"/>
          <w:szCs w:val="28"/>
          <w:lang w:val="el-GR"/>
        </w:rPr>
        <w:t>ανερχόταν στα 578,40,</w:t>
      </w:r>
      <w:r w:rsidRPr="00BF674F">
        <w:rPr>
          <w:sz w:val="28"/>
          <w:szCs w:val="28"/>
          <w:lang w:val="el-GR"/>
        </w:rPr>
        <w:t xml:space="preserve"> ενώ των νέων ασφαλισμένων κυμαινόταν ανάλογα την Ασφαλιστική Κατηγορία </w:t>
      </w:r>
      <w:r w:rsidRPr="00BF674F">
        <w:rPr>
          <w:b/>
          <w:sz w:val="28"/>
          <w:szCs w:val="28"/>
          <w:lang w:val="el-GR"/>
        </w:rPr>
        <w:t>από 499,20 έως 727,80</w:t>
      </w:r>
      <w:r w:rsidRPr="00BF674F">
        <w:rPr>
          <w:sz w:val="28"/>
          <w:szCs w:val="28"/>
          <w:lang w:val="el-GR"/>
        </w:rPr>
        <w:t xml:space="preserve">. </w:t>
      </w:r>
      <w:r w:rsidRPr="00BF674F">
        <w:rPr>
          <w:sz w:val="28"/>
          <w:szCs w:val="28"/>
          <w:u w:val="single"/>
          <w:lang w:val="el-GR"/>
        </w:rPr>
        <w:t>Επιπλέον αυτών υπήρχε πόρος ΤΕΑΔ επί της προεισπράξεως, ο οποίος δεν αφαιρείτο καν από την ετήσια εισφορά</w:t>
      </w:r>
      <w:r w:rsidRPr="00BF674F">
        <w:rPr>
          <w:sz w:val="28"/>
          <w:szCs w:val="28"/>
          <w:lang w:val="el-GR"/>
        </w:rPr>
        <w:t>.</w:t>
      </w:r>
    </w:p>
    <w:p w14:paraId="335A961F" w14:textId="77777777" w:rsidR="00734821" w:rsidRPr="00BF674F" w:rsidRDefault="00734821" w:rsidP="0067768C">
      <w:pPr>
        <w:spacing w:line="360" w:lineRule="atLeast"/>
        <w:jc w:val="both"/>
        <w:rPr>
          <w:sz w:val="28"/>
          <w:szCs w:val="28"/>
          <w:lang w:val="el-GR"/>
        </w:rPr>
      </w:pPr>
      <w:proofErr w:type="spellStart"/>
      <w:r w:rsidRPr="00BF674F">
        <w:rPr>
          <w:sz w:val="28"/>
          <w:szCs w:val="28"/>
          <w:lang w:val="el-GR"/>
        </w:rPr>
        <w:t>Αντ’αυτών</w:t>
      </w:r>
      <w:proofErr w:type="spellEnd"/>
      <w:r w:rsidRPr="00BF674F">
        <w:rPr>
          <w:sz w:val="28"/>
          <w:szCs w:val="28"/>
          <w:lang w:val="el-GR"/>
        </w:rPr>
        <w:t xml:space="preserve"> η ετήσια εισφορά σήμερα είναι 41,02 Χ 12 </w:t>
      </w:r>
      <w:r w:rsidRPr="00BF674F">
        <w:rPr>
          <w:b/>
          <w:sz w:val="28"/>
          <w:szCs w:val="28"/>
          <w:lang w:val="el-GR"/>
        </w:rPr>
        <w:t>= 492,24</w:t>
      </w:r>
      <w:r w:rsidRPr="00BF674F">
        <w:rPr>
          <w:sz w:val="28"/>
          <w:szCs w:val="28"/>
          <w:lang w:val="el-GR"/>
        </w:rPr>
        <w:t xml:space="preserve"> και από 1.2.</w:t>
      </w:r>
      <w:r w:rsidR="00FB2F2F" w:rsidRPr="00BF674F">
        <w:rPr>
          <w:sz w:val="28"/>
          <w:szCs w:val="28"/>
          <w:lang w:val="el-GR"/>
        </w:rPr>
        <w:t xml:space="preserve">19 45,50 Χ 12 = </w:t>
      </w:r>
      <w:r w:rsidR="00FB2F2F" w:rsidRPr="00BF674F">
        <w:rPr>
          <w:b/>
          <w:sz w:val="28"/>
          <w:szCs w:val="28"/>
          <w:lang w:val="el-GR"/>
        </w:rPr>
        <w:t xml:space="preserve">546 </w:t>
      </w:r>
      <w:r w:rsidR="00FB2F2F" w:rsidRPr="00BF674F">
        <w:rPr>
          <w:sz w:val="28"/>
          <w:szCs w:val="28"/>
          <w:lang w:val="el-GR"/>
        </w:rPr>
        <w:t xml:space="preserve">ευρώ, </w:t>
      </w:r>
      <w:r w:rsidR="00FB2F2F" w:rsidRPr="00BF674F">
        <w:rPr>
          <w:b/>
          <w:sz w:val="28"/>
          <w:szCs w:val="28"/>
          <w:lang w:val="el-GR"/>
        </w:rPr>
        <w:t>ήτοι κατώτερη από παλιά</w:t>
      </w:r>
      <w:r w:rsidR="00FB2F2F" w:rsidRPr="00BF674F">
        <w:rPr>
          <w:sz w:val="28"/>
          <w:szCs w:val="28"/>
          <w:lang w:val="el-GR"/>
        </w:rPr>
        <w:t xml:space="preserve"> (χωρίς να συνυπολογίζονται όσα καταβάλαμε με τα γραμμάτια προκαταβολής εισφορών).</w:t>
      </w:r>
    </w:p>
    <w:p w14:paraId="353DE87F" w14:textId="77777777" w:rsidR="00FB2F2F" w:rsidRPr="00BF674F" w:rsidRDefault="00FB2F2F" w:rsidP="0067768C">
      <w:pPr>
        <w:spacing w:line="360" w:lineRule="atLeast"/>
        <w:jc w:val="both"/>
        <w:rPr>
          <w:sz w:val="28"/>
          <w:szCs w:val="28"/>
          <w:u w:val="single"/>
          <w:lang w:val="el-GR"/>
        </w:rPr>
      </w:pPr>
      <w:r w:rsidRPr="00BF674F">
        <w:rPr>
          <w:sz w:val="28"/>
          <w:szCs w:val="28"/>
          <w:lang w:val="el-GR"/>
        </w:rPr>
        <w:t xml:space="preserve">Αντίστοιχα στο ΤΠΔΑ η εισφορά παλαιού ασφαλισμένου ήταν </w:t>
      </w:r>
      <w:r w:rsidRPr="00BF674F">
        <w:rPr>
          <w:b/>
          <w:sz w:val="28"/>
          <w:szCs w:val="28"/>
          <w:lang w:val="el-GR"/>
        </w:rPr>
        <w:t>366,12</w:t>
      </w:r>
      <w:r w:rsidRPr="00BF674F">
        <w:rPr>
          <w:sz w:val="28"/>
          <w:szCs w:val="28"/>
          <w:lang w:val="el-GR"/>
        </w:rPr>
        <w:t xml:space="preserve"> ενώ νέου ασφαλισμένου μεταξύ </w:t>
      </w:r>
      <w:r w:rsidRPr="00BF674F">
        <w:rPr>
          <w:b/>
          <w:sz w:val="28"/>
          <w:szCs w:val="28"/>
          <w:lang w:val="el-GR"/>
        </w:rPr>
        <w:t>409,32 και 484,21</w:t>
      </w:r>
      <w:r w:rsidRPr="00BF674F">
        <w:rPr>
          <w:sz w:val="28"/>
          <w:szCs w:val="28"/>
          <w:lang w:val="el-GR"/>
        </w:rPr>
        <w:t xml:space="preserve">. </w:t>
      </w:r>
      <w:r w:rsidRPr="00BF674F">
        <w:rPr>
          <w:sz w:val="28"/>
          <w:szCs w:val="28"/>
          <w:u w:val="single"/>
          <w:lang w:val="el-GR"/>
        </w:rPr>
        <w:t>Επιπλέον υπήρχε εισφορά επί γραμματίων προείσπραξης μεταξύ 37,49 έως 85,68.</w:t>
      </w:r>
    </w:p>
    <w:p w14:paraId="230D23AF" w14:textId="77777777" w:rsidR="00FB2F2F" w:rsidRPr="00BF674F" w:rsidRDefault="00FB2F2F" w:rsidP="0067768C">
      <w:pPr>
        <w:spacing w:line="360" w:lineRule="atLeast"/>
        <w:jc w:val="both"/>
        <w:rPr>
          <w:sz w:val="28"/>
          <w:szCs w:val="28"/>
          <w:lang w:val="el-GR"/>
        </w:rPr>
      </w:pPr>
      <w:proofErr w:type="spellStart"/>
      <w:r w:rsidRPr="00BF674F">
        <w:rPr>
          <w:sz w:val="28"/>
          <w:szCs w:val="28"/>
          <w:lang w:val="el-GR"/>
        </w:rPr>
        <w:t>Αντ’αυτών</w:t>
      </w:r>
      <w:proofErr w:type="spellEnd"/>
      <w:r w:rsidRPr="00BF674F">
        <w:rPr>
          <w:sz w:val="28"/>
          <w:szCs w:val="28"/>
          <w:lang w:val="el-GR"/>
        </w:rPr>
        <w:t xml:space="preserve"> η ετήσια εισφορά σήμερα είναι 23,44 Χ 12 = </w:t>
      </w:r>
      <w:r w:rsidRPr="00BF674F">
        <w:rPr>
          <w:b/>
          <w:sz w:val="28"/>
          <w:szCs w:val="28"/>
          <w:lang w:val="el-GR"/>
        </w:rPr>
        <w:t>281,28</w:t>
      </w:r>
      <w:r w:rsidRPr="00BF674F">
        <w:rPr>
          <w:sz w:val="28"/>
          <w:szCs w:val="28"/>
          <w:lang w:val="el-GR"/>
        </w:rPr>
        <w:t xml:space="preserve"> και από 1.2.19 26 Χ 12 = </w:t>
      </w:r>
      <w:r w:rsidRPr="00BF674F">
        <w:rPr>
          <w:b/>
          <w:sz w:val="28"/>
          <w:szCs w:val="28"/>
          <w:lang w:val="el-GR"/>
        </w:rPr>
        <w:t>312 ευρώ,</w:t>
      </w:r>
      <w:r w:rsidRPr="00BF674F">
        <w:rPr>
          <w:sz w:val="28"/>
          <w:szCs w:val="28"/>
          <w:lang w:val="el-GR"/>
        </w:rPr>
        <w:t xml:space="preserve"> </w:t>
      </w:r>
      <w:r w:rsidRPr="00BF674F">
        <w:rPr>
          <w:b/>
          <w:sz w:val="28"/>
          <w:szCs w:val="28"/>
          <w:lang w:val="el-GR"/>
        </w:rPr>
        <w:t>ήτοι κατώτερη από παλιά.</w:t>
      </w:r>
    </w:p>
    <w:p w14:paraId="1793555A" w14:textId="380A3889" w:rsidR="00FB2F2F" w:rsidRPr="00BF674F" w:rsidRDefault="00A32B61" w:rsidP="0067768C">
      <w:pPr>
        <w:spacing w:line="360" w:lineRule="atLeast"/>
        <w:jc w:val="both"/>
        <w:rPr>
          <w:b/>
          <w:sz w:val="28"/>
          <w:szCs w:val="28"/>
          <w:u w:val="single"/>
          <w:lang w:val="el-GR"/>
        </w:rPr>
      </w:pPr>
      <w:r w:rsidRPr="00BF674F">
        <w:rPr>
          <w:b/>
          <w:sz w:val="28"/>
          <w:szCs w:val="28"/>
          <w:u w:val="single"/>
          <w:lang w:val="el-GR"/>
        </w:rPr>
        <w:t>ΕΙΣΦΟΡΕΣ ΕΜΜΙΣΘΩΝ</w:t>
      </w:r>
    </w:p>
    <w:p w14:paraId="0A3E0C74" w14:textId="7D3B06CB" w:rsidR="00887625" w:rsidRPr="00BF674F" w:rsidRDefault="00A32B61" w:rsidP="0067768C">
      <w:pPr>
        <w:spacing w:line="360" w:lineRule="atLeast"/>
        <w:jc w:val="both"/>
        <w:rPr>
          <w:i/>
          <w:sz w:val="28"/>
          <w:szCs w:val="28"/>
          <w:lang w:val="el-GR"/>
        </w:rPr>
      </w:pPr>
      <w:bookmarkStart w:id="0" w:name="_Hlk3650720"/>
      <w:r w:rsidRPr="00BF674F">
        <w:rPr>
          <w:sz w:val="28"/>
          <w:szCs w:val="28"/>
          <w:lang w:val="el-GR"/>
        </w:rPr>
        <w:t>Με δεδομένο ότι οι έμμισθοι δικηγόροι έχουν καταβάλει</w:t>
      </w:r>
      <w:r w:rsidR="00A8782E" w:rsidRPr="00BF674F">
        <w:rPr>
          <w:sz w:val="28"/>
          <w:szCs w:val="28"/>
          <w:lang w:val="el-GR"/>
        </w:rPr>
        <w:t xml:space="preserve"> από 1.1.2017</w:t>
      </w:r>
      <w:r w:rsidRPr="00BF674F">
        <w:rPr>
          <w:sz w:val="28"/>
          <w:szCs w:val="28"/>
          <w:lang w:val="el-GR"/>
        </w:rPr>
        <w:t xml:space="preserve"> και καταβάλουν εισφορά επικουρικής και πρόνοιας, δεν επιβαρύνονται</w:t>
      </w:r>
      <w:r w:rsidR="00A8782E" w:rsidRPr="00BF674F">
        <w:rPr>
          <w:sz w:val="28"/>
          <w:szCs w:val="28"/>
          <w:lang w:val="el-GR"/>
        </w:rPr>
        <w:t xml:space="preserve"> με ειδοποιητήριο ΕΤΕΑΕΠ. </w:t>
      </w:r>
      <w:r w:rsidR="00460117" w:rsidRPr="00BF674F">
        <w:rPr>
          <w:sz w:val="28"/>
          <w:szCs w:val="28"/>
          <w:lang w:val="el-GR"/>
        </w:rPr>
        <w:t xml:space="preserve"> Προβλέπεται ρητώς στην εγκύκλιο:</w:t>
      </w:r>
      <w:bookmarkEnd w:id="0"/>
      <w:r w:rsidR="00460117" w:rsidRPr="00BF674F">
        <w:rPr>
          <w:sz w:val="28"/>
          <w:szCs w:val="28"/>
          <w:lang w:val="el-GR"/>
        </w:rPr>
        <w:t xml:space="preserve"> «</w:t>
      </w:r>
      <w:r w:rsidR="00460117" w:rsidRPr="00BF674F">
        <w:rPr>
          <w:i/>
          <w:sz w:val="28"/>
          <w:szCs w:val="28"/>
          <w:u w:val="single"/>
          <w:lang w:val="el-GR"/>
        </w:rPr>
        <w:t xml:space="preserve">3) Στις περιπτώσεις που η κράτηση γίνεται επί του προβλεπόμενου κατώτατου βασικού μισθού για όλες τις υπαγόμενες δραστηριότητες, </w:t>
      </w:r>
      <w:r w:rsidR="00460117" w:rsidRPr="00BF674F">
        <w:rPr>
          <w:b/>
          <w:i/>
          <w:sz w:val="28"/>
          <w:szCs w:val="28"/>
          <w:u w:val="single"/>
          <w:lang w:val="el-GR"/>
        </w:rPr>
        <w:t xml:space="preserve">το ποσό αυτό </w:t>
      </w:r>
      <w:proofErr w:type="spellStart"/>
      <w:r w:rsidR="00460117" w:rsidRPr="00BF674F">
        <w:rPr>
          <w:b/>
          <w:i/>
          <w:sz w:val="28"/>
          <w:szCs w:val="28"/>
          <w:u w:val="single"/>
          <w:lang w:val="el-GR"/>
        </w:rPr>
        <w:t>παρακρατείται</w:t>
      </w:r>
      <w:proofErr w:type="spellEnd"/>
      <w:r w:rsidR="00460117" w:rsidRPr="00BF674F">
        <w:rPr>
          <w:b/>
          <w:i/>
          <w:sz w:val="28"/>
          <w:szCs w:val="28"/>
          <w:u w:val="single"/>
          <w:lang w:val="el-GR"/>
        </w:rPr>
        <w:t xml:space="preserve"> μία φορά.</w:t>
      </w:r>
      <w:r w:rsidR="00460117" w:rsidRPr="00BF674F">
        <w:rPr>
          <w:i/>
          <w:sz w:val="28"/>
          <w:szCs w:val="28"/>
          <w:lang w:val="el-GR"/>
        </w:rPr>
        <w:t xml:space="preserve"> Για παράδειγμα σε περίπτωση έμμισθου δικηγόρου, ο οποίος διατηρεί και δικό του γραφείο, θα καταβληθεί η προβλεπόμενη εισφορά από τη μισθωτή απασχόληση επί του προβλεπόμενου κατώτατου βασικού μισθού, με επιμερισμό μεταξύ εντολέα και δικηγόρου,».</w:t>
      </w:r>
    </w:p>
    <w:p w14:paraId="09707ECF" w14:textId="6777CF6B" w:rsidR="00460117" w:rsidRPr="00BF674F" w:rsidRDefault="00A32B61" w:rsidP="0067768C">
      <w:pPr>
        <w:spacing w:line="360" w:lineRule="atLeast"/>
        <w:jc w:val="both"/>
        <w:rPr>
          <w:b/>
          <w:sz w:val="28"/>
          <w:szCs w:val="28"/>
          <w:u w:val="single"/>
          <w:lang w:val="el-GR"/>
        </w:rPr>
      </w:pPr>
      <w:r w:rsidRPr="00BF674F">
        <w:rPr>
          <w:b/>
          <w:sz w:val="28"/>
          <w:szCs w:val="28"/>
          <w:u w:val="single"/>
          <w:lang w:val="el-GR"/>
        </w:rPr>
        <w:t>ΕΙΣΦΟΡΕΣ ΑΠΑΣΧΟΛΟΥΜΕΝΩΝ ΜΕ Τ.Π.Υ.</w:t>
      </w:r>
    </w:p>
    <w:p w14:paraId="3BBD754F" w14:textId="79C9AA5E" w:rsidR="00460117" w:rsidRPr="00BF674F" w:rsidRDefault="00A8782E" w:rsidP="0067768C">
      <w:pPr>
        <w:spacing w:line="360" w:lineRule="atLeast"/>
        <w:jc w:val="both"/>
        <w:rPr>
          <w:sz w:val="28"/>
          <w:szCs w:val="28"/>
          <w:lang w:val="el-GR"/>
        </w:rPr>
      </w:pPr>
      <w:r w:rsidRPr="00BF674F">
        <w:rPr>
          <w:sz w:val="28"/>
          <w:szCs w:val="28"/>
          <w:lang w:val="el-GR"/>
        </w:rPr>
        <w:t xml:space="preserve">Με δεδομένο ότι οι απασχολούμενοι με Τ.Π.Υ. έχουν καταβάλει από 1.1.2017 και καταβάλουν εισφορά επικουρικής και πρόνοιας, δεν επιβαρύνονται με ειδοποιητήριο ΕΤΕΑΕΠ.  </w:t>
      </w:r>
      <w:r w:rsidR="00460117" w:rsidRPr="00BF674F">
        <w:rPr>
          <w:sz w:val="28"/>
          <w:szCs w:val="28"/>
          <w:lang w:val="el-GR"/>
        </w:rPr>
        <w:t>Προβλέπεται ρητώς στην εγκύκλιο: «Δ. Για τους ασφαλισμένους που αμείβονται με δελτίο παροχής υπηρεσιών και για τους οποίους προκύπτει ότι το εισόδημά τους προέρχεται από την απασχόλησή τους σε ένα ή και δύο πρόσωπα (παρ. 9 του άρθρου 39 του ν. 4387/2016) θα καταβάλλονται από 1-1-2019 οι παρακάτω εισφορές: για τους µ</w:t>
      </w:r>
      <w:proofErr w:type="spellStart"/>
      <w:r w:rsidR="00460117" w:rsidRPr="00BF674F">
        <w:rPr>
          <w:sz w:val="28"/>
          <w:szCs w:val="28"/>
          <w:lang w:val="el-GR"/>
        </w:rPr>
        <w:t>ηχανικούς</w:t>
      </w:r>
      <w:proofErr w:type="spellEnd"/>
      <w:r w:rsidR="00460117" w:rsidRPr="00BF674F">
        <w:rPr>
          <w:sz w:val="28"/>
          <w:szCs w:val="28"/>
          <w:lang w:val="el-GR"/>
        </w:rPr>
        <w:t xml:space="preserve"> και υγειονομικούς, ποσοστό 4%, </w:t>
      </w:r>
      <w:proofErr w:type="spellStart"/>
      <w:r w:rsidR="00460117" w:rsidRPr="00BF674F">
        <w:rPr>
          <w:sz w:val="28"/>
          <w:szCs w:val="28"/>
          <w:lang w:val="el-GR"/>
        </w:rPr>
        <w:t>υπολογιζόµενο</w:t>
      </w:r>
      <w:proofErr w:type="spellEnd"/>
      <w:r w:rsidR="00460117" w:rsidRPr="00BF674F">
        <w:rPr>
          <w:sz w:val="28"/>
          <w:szCs w:val="28"/>
          <w:lang w:val="el-GR"/>
        </w:rPr>
        <w:t xml:space="preserve"> επί του ποσού που αντιστοιχεί στον κατώτατο βασικό µ</w:t>
      </w:r>
      <w:proofErr w:type="spellStart"/>
      <w:r w:rsidR="00460117" w:rsidRPr="00BF674F">
        <w:rPr>
          <w:sz w:val="28"/>
          <w:szCs w:val="28"/>
          <w:lang w:val="el-GR"/>
        </w:rPr>
        <w:t>ισθό</w:t>
      </w:r>
      <w:proofErr w:type="spellEnd"/>
      <w:r w:rsidR="00460117" w:rsidRPr="00BF674F">
        <w:rPr>
          <w:sz w:val="28"/>
          <w:szCs w:val="28"/>
          <w:lang w:val="el-GR"/>
        </w:rPr>
        <w:t xml:space="preserve"> µ</w:t>
      </w:r>
      <w:proofErr w:type="spellStart"/>
      <w:r w:rsidR="00460117" w:rsidRPr="00BF674F">
        <w:rPr>
          <w:sz w:val="28"/>
          <w:szCs w:val="28"/>
          <w:lang w:val="el-GR"/>
        </w:rPr>
        <w:t>ισθωτού</w:t>
      </w:r>
      <w:proofErr w:type="spellEnd"/>
      <w:r w:rsidR="00460117" w:rsidRPr="00BF674F">
        <w:rPr>
          <w:sz w:val="28"/>
          <w:szCs w:val="28"/>
          <w:lang w:val="el-GR"/>
        </w:rPr>
        <w:t>, όπως εκάστοτε ισχύει.».</w:t>
      </w:r>
    </w:p>
    <w:p w14:paraId="6E4A34AF" w14:textId="750422B7" w:rsidR="00460117" w:rsidRPr="00BF674F" w:rsidRDefault="00A8782E" w:rsidP="0067768C">
      <w:pPr>
        <w:spacing w:line="360" w:lineRule="atLeast"/>
        <w:jc w:val="both"/>
        <w:rPr>
          <w:b/>
          <w:sz w:val="28"/>
          <w:szCs w:val="28"/>
          <w:u w:val="single"/>
          <w:lang w:val="el-GR"/>
        </w:rPr>
      </w:pPr>
      <w:r w:rsidRPr="00BF674F">
        <w:rPr>
          <w:b/>
          <w:sz w:val="28"/>
          <w:szCs w:val="28"/>
          <w:u w:val="single"/>
          <w:lang w:val="el-GR"/>
        </w:rPr>
        <w:t xml:space="preserve">Σημαντικά </w:t>
      </w:r>
      <w:r w:rsidR="00460117" w:rsidRPr="00BF674F">
        <w:rPr>
          <w:b/>
          <w:sz w:val="28"/>
          <w:szCs w:val="28"/>
          <w:u w:val="single"/>
          <w:lang w:val="el-GR"/>
        </w:rPr>
        <w:t xml:space="preserve"> λάθη κατά την πρώτη ανάρτηση των ειδοποιητηρίων και που εντοπίζονται:</w:t>
      </w:r>
    </w:p>
    <w:p w14:paraId="2FD40760" w14:textId="3E646937" w:rsidR="00460117" w:rsidRPr="00BF674F" w:rsidRDefault="00460117" w:rsidP="0067768C">
      <w:pPr>
        <w:spacing w:line="360" w:lineRule="atLeast"/>
        <w:jc w:val="both"/>
        <w:rPr>
          <w:sz w:val="28"/>
          <w:szCs w:val="28"/>
          <w:lang w:val="el-GR"/>
        </w:rPr>
      </w:pPr>
      <w:r w:rsidRPr="00BF674F">
        <w:rPr>
          <w:sz w:val="28"/>
          <w:szCs w:val="28"/>
          <w:lang w:val="el-GR"/>
        </w:rPr>
        <w:t xml:space="preserve">Τα λάθη εντοπίζονται στις εξής κατηγορίες: α) Το σύνολο </w:t>
      </w:r>
      <w:r w:rsidR="00A8782E" w:rsidRPr="00BF674F">
        <w:rPr>
          <w:sz w:val="28"/>
          <w:szCs w:val="28"/>
          <w:lang w:val="el-GR"/>
        </w:rPr>
        <w:t>από μια πρώτη επισκόπηση</w:t>
      </w:r>
      <w:r w:rsidRPr="00BF674F">
        <w:rPr>
          <w:sz w:val="28"/>
          <w:szCs w:val="28"/>
          <w:lang w:val="el-GR"/>
        </w:rPr>
        <w:t xml:space="preserve"> των εμμίσθων ασφαλισμένων λαμβάνει παρανόμως ειδοποιητήριο β) Πολλοί συνάδελφοι εκτός Αθηνών, </w:t>
      </w:r>
      <w:proofErr w:type="spellStart"/>
      <w:r w:rsidRPr="00BF674F">
        <w:rPr>
          <w:sz w:val="28"/>
          <w:szCs w:val="28"/>
          <w:lang w:val="el-GR"/>
        </w:rPr>
        <w:t>εμφαίνονται</w:t>
      </w:r>
      <w:proofErr w:type="spellEnd"/>
      <w:r w:rsidRPr="00BF674F">
        <w:rPr>
          <w:sz w:val="28"/>
          <w:szCs w:val="28"/>
          <w:lang w:val="el-GR"/>
        </w:rPr>
        <w:t xml:space="preserve"> ως Δικηγόροι Αθηνών και τους επιβάλλεται εισφορά πρόνοιας γ) Το ειδοποιητήριο δεν εξάγεται. δ) Δεν αναγράφεται αρμόδια Υπηρεσία, διεύθυνση ηλεκτρονικού ταχυδρομείου και τηλέφωνα για</w:t>
      </w:r>
      <w:r w:rsidR="00A8782E" w:rsidRPr="00BF674F">
        <w:rPr>
          <w:sz w:val="28"/>
          <w:szCs w:val="28"/>
          <w:lang w:val="el-GR"/>
        </w:rPr>
        <w:t xml:space="preserve"> να</w:t>
      </w:r>
      <w:r w:rsidRPr="00BF674F">
        <w:rPr>
          <w:sz w:val="28"/>
          <w:szCs w:val="28"/>
          <w:lang w:val="el-GR"/>
        </w:rPr>
        <w:t xml:space="preserve"> απευθυνθούν  οι ασφαλισμένοι.</w:t>
      </w:r>
    </w:p>
    <w:p w14:paraId="01789C04" w14:textId="42894F2F" w:rsidR="00460117" w:rsidRPr="00BF674F" w:rsidRDefault="00A8782E" w:rsidP="0067768C">
      <w:pPr>
        <w:spacing w:line="360" w:lineRule="atLeast"/>
        <w:jc w:val="both"/>
        <w:rPr>
          <w:sz w:val="28"/>
          <w:szCs w:val="28"/>
          <w:lang w:val="el-GR"/>
        </w:rPr>
      </w:pPr>
      <w:r w:rsidRPr="00BF674F">
        <w:rPr>
          <w:b/>
          <w:sz w:val="28"/>
          <w:szCs w:val="28"/>
          <w:lang w:val="el-GR"/>
        </w:rPr>
        <w:t>Η έκδοση πολλαπλών ειδοποιητηρίων ΕΤΕΑΕΠ και ΕΦΚΑ</w:t>
      </w:r>
      <w:r w:rsidRPr="00BF674F">
        <w:rPr>
          <w:sz w:val="28"/>
          <w:szCs w:val="28"/>
          <w:lang w:val="el-GR"/>
        </w:rPr>
        <w:t xml:space="preserve"> π</w:t>
      </w:r>
      <w:r w:rsidR="00460117" w:rsidRPr="00BF674F">
        <w:rPr>
          <w:sz w:val="28"/>
          <w:szCs w:val="28"/>
          <w:lang w:val="el-GR"/>
        </w:rPr>
        <w:t>ροσθέτει γραφειοκρατία</w:t>
      </w:r>
      <w:r w:rsidRPr="00BF674F">
        <w:rPr>
          <w:sz w:val="28"/>
          <w:szCs w:val="28"/>
          <w:lang w:val="el-GR"/>
        </w:rPr>
        <w:t xml:space="preserve">, </w:t>
      </w:r>
      <w:r w:rsidR="00460117" w:rsidRPr="00BF674F">
        <w:rPr>
          <w:sz w:val="28"/>
          <w:szCs w:val="28"/>
          <w:lang w:val="el-GR"/>
        </w:rPr>
        <w:t xml:space="preserve">ταλαιπωρία και οικονομική επιβάρυνση στους ασφαλισμένους, ενώ δεν μπορεί να υπάρχει συμψηφισμός εισφορών από τα γραμμάτια. Η δικαιολογία που δίδεται ότι είναι διαφορετικοί φορείς δεν ευσταθεί, καθόσον και στο ειδοποιητήριο ΕΦΚΑ εισπράττεται εισφορά υπέρ ΕΟΠΥΥ (υγεία σε είδος). </w:t>
      </w:r>
    </w:p>
    <w:p w14:paraId="28AF90F2" w14:textId="725869B4" w:rsidR="003011E1" w:rsidRPr="00BF674F" w:rsidRDefault="003011E1" w:rsidP="0067768C">
      <w:pPr>
        <w:spacing w:line="360" w:lineRule="atLeast"/>
        <w:jc w:val="both"/>
        <w:rPr>
          <w:sz w:val="28"/>
          <w:szCs w:val="28"/>
          <w:lang w:val="el-GR"/>
        </w:rPr>
      </w:pPr>
    </w:p>
    <w:p w14:paraId="6AC56D79" w14:textId="77777777" w:rsidR="003011E1" w:rsidRPr="00BF674F" w:rsidRDefault="003011E1" w:rsidP="003011E1">
      <w:pPr>
        <w:rPr>
          <w:b/>
          <w:sz w:val="28"/>
          <w:szCs w:val="28"/>
          <w:u w:val="single"/>
          <w:lang w:val="el-GR"/>
        </w:rPr>
      </w:pPr>
      <w:r w:rsidRPr="00BF674F">
        <w:rPr>
          <w:b/>
          <w:sz w:val="28"/>
          <w:szCs w:val="28"/>
          <w:u w:val="single"/>
          <w:lang w:val="el-GR"/>
        </w:rPr>
        <w:t xml:space="preserve">Β. </w:t>
      </w:r>
      <w:r w:rsidRPr="00BF674F">
        <w:rPr>
          <w:b/>
          <w:sz w:val="28"/>
          <w:szCs w:val="28"/>
          <w:u w:val="single"/>
          <w:lang w:val="en-US"/>
        </w:rPr>
        <w:t>A</w:t>
      </w:r>
      <w:r w:rsidRPr="00BF674F">
        <w:rPr>
          <w:b/>
          <w:sz w:val="28"/>
          <w:szCs w:val="28"/>
          <w:u w:val="single"/>
          <w:lang w:val="el-GR"/>
        </w:rPr>
        <w:t>ΣΦΑΛΙΣΤΙΚΗ ΙΚΑΝΟΤΗΤΑ</w:t>
      </w:r>
    </w:p>
    <w:p w14:paraId="3305BB16" w14:textId="77777777" w:rsidR="003011E1" w:rsidRPr="00BF674F" w:rsidRDefault="003011E1" w:rsidP="003011E1">
      <w:pPr>
        <w:jc w:val="both"/>
        <w:rPr>
          <w:sz w:val="28"/>
          <w:szCs w:val="28"/>
          <w:lang w:val="el-GR"/>
        </w:rPr>
      </w:pPr>
      <w:r w:rsidRPr="00BF674F">
        <w:rPr>
          <w:sz w:val="28"/>
          <w:szCs w:val="28"/>
          <w:lang w:val="el-GR"/>
        </w:rPr>
        <w:t>Για δεύτερη συνεχόμενη χρονιά κατά τη διαδικασία ανανέωσης ασφαλιστικής ικανότητας των συναδέλφων, παρουσιάστηκαν εκατοντάδες φαινόμενα ασφαλισμένων που ενώ πληρούν τις προϋποθέσεις για χορήγηση ασφαλιστικής ικανότητας υγειονομικής περίθαλψης (άρθρα 22 και 23 ν.4529/2018 και εγκύκλιος Φ. 40021 / οικ.9491/737/28.2.19 Υπουργείου Εργασίας), βρέθηκαν ανασφάλιστοι αυτοί οι ίδιοι ή/και τα έμμεσα μέλη τους.</w:t>
      </w:r>
    </w:p>
    <w:p w14:paraId="7DE705D8" w14:textId="77777777" w:rsidR="003011E1" w:rsidRPr="00BF674F" w:rsidRDefault="003011E1" w:rsidP="003011E1">
      <w:pPr>
        <w:jc w:val="both"/>
        <w:rPr>
          <w:sz w:val="28"/>
          <w:szCs w:val="28"/>
          <w:lang w:val="el-GR"/>
        </w:rPr>
      </w:pPr>
      <w:r w:rsidRPr="00BF674F">
        <w:rPr>
          <w:sz w:val="28"/>
          <w:szCs w:val="28"/>
          <w:lang w:val="el-GR"/>
        </w:rPr>
        <w:t>Ήδη για το θέμα υπάρχουν παρεμβάσεις και επιστολές του Προέδρου της Ολομέλειας προς τη Διοίκηση του ΕΦΚΑ</w:t>
      </w:r>
    </w:p>
    <w:p w14:paraId="22D81AEB" w14:textId="77777777" w:rsidR="003011E1" w:rsidRPr="00BF674F" w:rsidRDefault="003011E1" w:rsidP="003011E1">
      <w:pPr>
        <w:jc w:val="both"/>
        <w:rPr>
          <w:b/>
          <w:sz w:val="28"/>
          <w:szCs w:val="28"/>
          <w:lang w:val="el-GR"/>
        </w:rPr>
      </w:pPr>
      <w:r w:rsidRPr="00BF674F">
        <w:rPr>
          <w:b/>
          <w:sz w:val="28"/>
          <w:szCs w:val="28"/>
          <w:lang w:val="el-GR"/>
        </w:rPr>
        <w:t>Συνάδελφοί μας που χρήζουν άμεσης υγειονομικής περίθαλψης (</w:t>
      </w:r>
      <w:proofErr w:type="spellStart"/>
      <w:r w:rsidRPr="00BF674F">
        <w:rPr>
          <w:b/>
          <w:sz w:val="28"/>
          <w:szCs w:val="28"/>
          <w:lang w:val="el-GR"/>
        </w:rPr>
        <w:t>μεταμοσχευθέντες</w:t>
      </w:r>
      <w:proofErr w:type="spellEnd"/>
      <w:r w:rsidRPr="00BF674F">
        <w:rPr>
          <w:b/>
          <w:sz w:val="28"/>
          <w:szCs w:val="28"/>
          <w:lang w:val="el-GR"/>
        </w:rPr>
        <w:t>, νοσηλευόμενοι κλπ.) ευρίσκονται χωρίς λόγο και αιτία άνευ ασφαλιστικής ικανότητας.</w:t>
      </w:r>
    </w:p>
    <w:p w14:paraId="578D6F21" w14:textId="77777777" w:rsidR="003011E1" w:rsidRPr="00BF674F" w:rsidRDefault="003011E1" w:rsidP="003011E1">
      <w:pPr>
        <w:jc w:val="both"/>
        <w:rPr>
          <w:b/>
          <w:sz w:val="28"/>
          <w:szCs w:val="28"/>
          <w:lang w:val="el-GR"/>
        </w:rPr>
      </w:pPr>
      <w:r w:rsidRPr="00BF674F">
        <w:rPr>
          <w:b/>
          <w:sz w:val="28"/>
          <w:szCs w:val="28"/>
          <w:lang w:val="el-GR"/>
        </w:rPr>
        <w:t>Επίσης χιλιάδες έμμεσα μέλη έχουν εξαφανιστεί από το σύστημα.</w:t>
      </w:r>
    </w:p>
    <w:p w14:paraId="67ED22F2" w14:textId="60D12F76" w:rsidR="003011E1" w:rsidRPr="00BF674F" w:rsidRDefault="003011E1" w:rsidP="003011E1">
      <w:pPr>
        <w:jc w:val="both"/>
        <w:rPr>
          <w:sz w:val="28"/>
          <w:szCs w:val="28"/>
          <w:u w:val="single"/>
          <w:lang w:val="el-GR"/>
        </w:rPr>
      </w:pPr>
      <w:r w:rsidRPr="00BF674F">
        <w:rPr>
          <w:sz w:val="28"/>
          <w:szCs w:val="28"/>
          <w:lang w:val="el-GR"/>
        </w:rPr>
        <w:t xml:space="preserve">Επιπλέον αποκαλύφθηκε και βεβαιώθηκε από τις υπηρεσίες του ΕΦΚΑ </w:t>
      </w:r>
      <w:r w:rsidRPr="00BF674F">
        <w:rPr>
          <w:b/>
          <w:sz w:val="28"/>
          <w:szCs w:val="28"/>
          <w:lang w:val="el-GR"/>
        </w:rPr>
        <w:t>λάθος των συστημάτων της ΗΔΙΚΑ,</w:t>
      </w:r>
      <w:r w:rsidRPr="00BF674F">
        <w:rPr>
          <w:sz w:val="28"/>
          <w:szCs w:val="28"/>
          <w:lang w:val="el-GR"/>
        </w:rPr>
        <w:t xml:space="preserve"> </w:t>
      </w:r>
      <w:r w:rsidRPr="00BF674F">
        <w:rPr>
          <w:sz w:val="28"/>
          <w:szCs w:val="28"/>
          <w:u w:val="single"/>
          <w:lang w:val="el-GR"/>
        </w:rPr>
        <w:t>σύμφωνα με το οποίο δεν ανανεώνεται η ασφαλιστική ικανότητα των ασφαλισμένων με μηδενική 2</w:t>
      </w:r>
      <w:r w:rsidRPr="00BF674F">
        <w:rPr>
          <w:sz w:val="28"/>
          <w:szCs w:val="28"/>
          <w:u w:val="single"/>
          <w:vertAlign w:val="superscript"/>
          <w:lang w:val="el-GR"/>
        </w:rPr>
        <w:t>η</w:t>
      </w:r>
      <w:r w:rsidRPr="00BF674F">
        <w:rPr>
          <w:sz w:val="28"/>
          <w:szCs w:val="28"/>
          <w:u w:val="single"/>
          <w:lang w:val="el-GR"/>
        </w:rPr>
        <w:t xml:space="preserve"> εκκαθάριση</w:t>
      </w:r>
      <w:r w:rsidR="007B1E9C" w:rsidRPr="00BF674F">
        <w:rPr>
          <w:sz w:val="28"/>
          <w:szCs w:val="28"/>
          <w:u w:val="single"/>
          <w:lang w:val="el-GR"/>
        </w:rPr>
        <w:t>»</w:t>
      </w:r>
      <w:r w:rsidRPr="00BF674F">
        <w:rPr>
          <w:sz w:val="28"/>
          <w:szCs w:val="28"/>
          <w:u w:val="single"/>
          <w:lang w:val="el-GR"/>
        </w:rPr>
        <w:t>.</w:t>
      </w:r>
    </w:p>
    <w:p w14:paraId="44DC1DC5" w14:textId="59612256" w:rsidR="003011E1" w:rsidRPr="00BF674F" w:rsidRDefault="003011E1" w:rsidP="0067768C">
      <w:pPr>
        <w:spacing w:line="360" w:lineRule="atLeast"/>
        <w:jc w:val="both"/>
        <w:rPr>
          <w:sz w:val="28"/>
          <w:szCs w:val="28"/>
          <w:lang w:val="el-GR"/>
        </w:rPr>
      </w:pPr>
    </w:p>
    <w:p w14:paraId="61B2FAA5" w14:textId="54110550" w:rsidR="00887625" w:rsidRPr="00BF674F" w:rsidRDefault="00887625" w:rsidP="003011E1">
      <w:pPr>
        <w:spacing w:line="360" w:lineRule="atLeast"/>
        <w:jc w:val="both"/>
        <w:rPr>
          <w:sz w:val="28"/>
          <w:szCs w:val="28"/>
          <w:lang w:val="el-GR"/>
        </w:rPr>
      </w:pPr>
    </w:p>
    <w:p w14:paraId="6D6BA81F" w14:textId="2F2CF621" w:rsidR="00A8782E" w:rsidRPr="00BF674F" w:rsidRDefault="003011E1" w:rsidP="003011E1">
      <w:pPr>
        <w:spacing w:line="360" w:lineRule="atLeast"/>
        <w:jc w:val="both"/>
        <w:rPr>
          <w:b/>
          <w:i/>
          <w:sz w:val="28"/>
          <w:szCs w:val="28"/>
          <w:lang w:val="el-GR"/>
        </w:rPr>
      </w:pPr>
      <w:r w:rsidRPr="00BF674F">
        <w:rPr>
          <w:b/>
          <w:i/>
          <w:sz w:val="28"/>
          <w:szCs w:val="28"/>
          <w:lang w:val="el-GR"/>
        </w:rPr>
        <w:t xml:space="preserve">Κατόπιν αυτών, η Συντονιστική Επιτροπή αποφάσισε </w:t>
      </w:r>
      <w:r w:rsidR="00A8782E" w:rsidRPr="00BF674F">
        <w:rPr>
          <w:b/>
          <w:i/>
          <w:sz w:val="28"/>
          <w:szCs w:val="28"/>
          <w:lang w:val="el-GR"/>
        </w:rPr>
        <w:t>ομόφωνα:</w:t>
      </w:r>
    </w:p>
    <w:p w14:paraId="6AEB1A3D" w14:textId="585A9696" w:rsidR="003011E1" w:rsidRPr="00BF674F" w:rsidRDefault="003011E1" w:rsidP="003011E1">
      <w:pPr>
        <w:spacing w:line="360" w:lineRule="atLeast"/>
        <w:jc w:val="both"/>
        <w:rPr>
          <w:b/>
          <w:sz w:val="28"/>
          <w:szCs w:val="28"/>
          <w:lang w:val="el-GR"/>
        </w:rPr>
      </w:pPr>
    </w:p>
    <w:p w14:paraId="264FDF39" w14:textId="746B5955" w:rsidR="003011E1" w:rsidRPr="00BF674F" w:rsidRDefault="003011E1" w:rsidP="003011E1">
      <w:pPr>
        <w:spacing w:line="360" w:lineRule="atLeast"/>
        <w:jc w:val="both"/>
        <w:rPr>
          <w:b/>
          <w:sz w:val="28"/>
          <w:szCs w:val="28"/>
          <w:u w:val="single"/>
          <w:lang w:val="el-GR"/>
        </w:rPr>
      </w:pPr>
      <w:r w:rsidRPr="00BF674F">
        <w:rPr>
          <w:b/>
          <w:sz w:val="28"/>
          <w:szCs w:val="28"/>
          <w:u w:val="single"/>
          <w:lang w:val="el-GR"/>
        </w:rPr>
        <w:t>Α. Για το θέμα των εισφορών ΕΤΕΑΕΠ</w:t>
      </w:r>
    </w:p>
    <w:p w14:paraId="2A4674FE" w14:textId="0DCA5778" w:rsidR="0067768C" w:rsidRPr="00BF674F" w:rsidRDefault="00A8782E" w:rsidP="003011E1">
      <w:pPr>
        <w:pStyle w:val="a3"/>
        <w:numPr>
          <w:ilvl w:val="0"/>
          <w:numId w:val="3"/>
        </w:numPr>
        <w:spacing w:line="360" w:lineRule="atLeast"/>
        <w:jc w:val="both"/>
        <w:rPr>
          <w:sz w:val="28"/>
          <w:szCs w:val="28"/>
          <w:lang w:val="el-GR"/>
        </w:rPr>
      </w:pPr>
      <w:r w:rsidRPr="00BF674F">
        <w:rPr>
          <w:sz w:val="28"/>
          <w:szCs w:val="28"/>
          <w:lang w:val="el-GR"/>
        </w:rPr>
        <w:t>Να ζητήσει άμεσα συνάντηση με την Υπουργό και το Διοικητή του ΕΤΕΑΕΠ για το ζήτημα</w:t>
      </w:r>
      <w:r w:rsidR="003011E1" w:rsidRPr="00BF674F">
        <w:rPr>
          <w:sz w:val="28"/>
          <w:szCs w:val="28"/>
          <w:lang w:val="el-GR"/>
        </w:rPr>
        <w:t xml:space="preserve"> των εισφορών ΕΤΕΑΕΠ</w:t>
      </w:r>
      <w:r w:rsidR="0067768C" w:rsidRPr="00BF674F">
        <w:rPr>
          <w:sz w:val="28"/>
          <w:szCs w:val="28"/>
          <w:lang w:val="el-GR"/>
        </w:rPr>
        <w:t>.</w:t>
      </w:r>
    </w:p>
    <w:p w14:paraId="56116951" w14:textId="1B0837F0" w:rsidR="00A8782E" w:rsidRPr="00BF674F" w:rsidRDefault="00A8782E" w:rsidP="003011E1">
      <w:pPr>
        <w:pStyle w:val="a3"/>
        <w:numPr>
          <w:ilvl w:val="0"/>
          <w:numId w:val="3"/>
        </w:numPr>
        <w:spacing w:line="360" w:lineRule="atLeast"/>
        <w:jc w:val="both"/>
        <w:rPr>
          <w:sz w:val="28"/>
          <w:szCs w:val="28"/>
          <w:lang w:val="el-GR"/>
        </w:rPr>
      </w:pPr>
      <w:r w:rsidRPr="00BF674F">
        <w:rPr>
          <w:sz w:val="28"/>
          <w:szCs w:val="28"/>
          <w:lang w:val="el-GR"/>
        </w:rPr>
        <w:t xml:space="preserve">Να </w:t>
      </w:r>
      <w:r w:rsidR="007B1E9C" w:rsidRPr="00BF674F">
        <w:rPr>
          <w:sz w:val="28"/>
          <w:szCs w:val="28"/>
          <w:lang w:val="el-GR"/>
        </w:rPr>
        <w:t>αναδειχθεί</w:t>
      </w:r>
      <w:r w:rsidRPr="00BF674F">
        <w:rPr>
          <w:sz w:val="28"/>
          <w:szCs w:val="28"/>
          <w:lang w:val="el-GR"/>
        </w:rPr>
        <w:t xml:space="preserve"> το</w:t>
      </w:r>
      <w:r w:rsidR="007B1E9C" w:rsidRPr="00BF674F">
        <w:rPr>
          <w:sz w:val="28"/>
          <w:szCs w:val="28"/>
          <w:lang w:val="el-GR"/>
        </w:rPr>
        <w:t xml:space="preserve"> εν λόγω</w:t>
      </w:r>
      <w:r w:rsidRPr="00BF674F">
        <w:rPr>
          <w:sz w:val="28"/>
          <w:szCs w:val="28"/>
          <w:lang w:val="el-GR"/>
        </w:rPr>
        <w:t xml:space="preserve"> θέμα στην επικείμενη συνέντευξη τύπου</w:t>
      </w:r>
      <w:r w:rsidR="007B1E9C" w:rsidRPr="00BF674F">
        <w:rPr>
          <w:sz w:val="28"/>
          <w:szCs w:val="28"/>
          <w:lang w:val="el-GR"/>
        </w:rPr>
        <w:t xml:space="preserve"> της 19.3.2019,</w:t>
      </w:r>
      <w:r w:rsidRPr="00BF674F">
        <w:rPr>
          <w:sz w:val="28"/>
          <w:szCs w:val="28"/>
          <w:lang w:val="el-GR"/>
        </w:rPr>
        <w:t xml:space="preserve"> με τους λοιπούς Επιστημονικ</w:t>
      </w:r>
      <w:r w:rsidR="007B1E9C" w:rsidRPr="00BF674F">
        <w:rPr>
          <w:sz w:val="28"/>
          <w:szCs w:val="28"/>
          <w:lang w:val="el-GR"/>
        </w:rPr>
        <w:t>ούς</w:t>
      </w:r>
      <w:r w:rsidRPr="00BF674F">
        <w:rPr>
          <w:sz w:val="28"/>
          <w:szCs w:val="28"/>
          <w:lang w:val="el-GR"/>
        </w:rPr>
        <w:t xml:space="preserve"> Φορ</w:t>
      </w:r>
      <w:r w:rsidR="007B1E9C" w:rsidRPr="00BF674F">
        <w:rPr>
          <w:sz w:val="28"/>
          <w:szCs w:val="28"/>
          <w:lang w:val="el-GR"/>
        </w:rPr>
        <w:t>είς</w:t>
      </w:r>
      <w:r w:rsidRPr="00BF674F">
        <w:rPr>
          <w:sz w:val="28"/>
          <w:szCs w:val="28"/>
          <w:lang w:val="el-GR"/>
        </w:rPr>
        <w:t>.</w:t>
      </w:r>
    </w:p>
    <w:p w14:paraId="337009CE" w14:textId="45431A02" w:rsidR="003011E1" w:rsidRPr="00BF674F" w:rsidRDefault="0067768C" w:rsidP="003011E1">
      <w:pPr>
        <w:pStyle w:val="a3"/>
        <w:numPr>
          <w:ilvl w:val="0"/>
          <w:numId w:val="3"/>
        </w:numPr>
        <w:spacing w:line="360" w:lineRule="atLeast"/>
        <w:jc w:val="both"/>
        <w:rPr>
          <w:sz w:val="28"/>
          <w:szCs w:val="28"/>
          <w:lang w:val="el-GR"/>
        </w:rPr>
      </w:pPr>
      <w:r w:rsidRPr="00BF674F">
        <w:rPr>
          <w:sz w:val="28"/>
          <w:szCs w:val="28"/>
          <w:lang w:val="el-GR"/>
        </w:rPr>
        <w:t>Να ζητηθεί άμεση διόρθωση</w:t>
      </w:r>
      <w:r w:rsidR="003011E1" w:rsidRPr="00BF674F">
        <w:rPr>
          <w:sz w:val="28"/>
          <w:szCs w:val="28"/>
          <w:lang w:val="el-GR"/>
        </w:rPr>
        <w:t xml:space="preserve"> των</w:t>
      </w:r>
      <w:r w:rsidRPr="00BF674F">
        <w:rPr>
          <w:sz w:val="28"/>
          <w:szCs w:val="28"/>
          <w:lang w:val="el-GR"/>
        </w:rPr>
        <w:t xml:space="preserve"> λαθών και χορήγηση ικανής προθεσμίας για την πληρωμή </w:t>
      </w:r>
      <w:r w:rsidR="003011E1" w:rsidRPr="00BF674F">
        <w:rPr>
          <w:sz w:val="28"/>
          <w:szCs w:val="28"/>
          <w:lang w:val="el-GR"/>
        </w:rPr>
        <w:t xml:space="preserve">των εισφορών, </w:t>
      </w:r>
      <w:proofErr w:type="spellStart"/>
      <w:r w:rsidR="003011E1" w:rsidRPr="00BF674F">
        <w:rPr>
          <w:sz w:val="28"/>
          <w:szCs w:val="28"/>
          <w:lang w:val="el-GR"/>
        </w:rPr>
        <w:t>παρατεινούμενης</w:t>
      </w:r>
      <w:proofErr w:type="spellEnd"/>
      <w:r w:rsidR="003011E1" w:rsidRPr="00BF674F">
        <w:rPr>
          <w:sz w:val="28"/>
          <w:szCs w:val="28"/>
          <w:lang w:val="el-GR"/>
        </w:rPr>
        <w:t xml:space="preserve"> της υπάρχουσας προθεσμίας </w:t>
      </w:r>
      <w:r w:rsidRPr="00BF674F">
        <w:rPr>
          <w:sz w:val="28"/>
          <w:szCs w:val="28"/>
          <w:lang w:val="el-GR"/>
        </w:rPr>
        <w:t>(29.3.2019) τουλάχιστον μέχρι τέλους Απριλίου 2019</w:t>
      </w:r>
      <w:r w:rsidR="003011E1" w:rsidRPr="00BF674F">
        <w:rPr>
          <w:sz w:val="28"/>
          <w:szCs w:val="28"/>
          <w:lang w:val="el-GR"/>
        </w:rPr>
        <w:t>.</w:t>
      </w:r>
    </w:p>
    <w:p w14:paraId="6C030C89" w14:textId="6E8CF038" w:rsidR="0067768C" w:rsidRPr="00BF674F" w:rsidRDefault="003011E1" w:rsidP="003011E1">
      <w:pPr>
        <w:pStyle w:val="a3"/>
        <w:numPr>
          <w:ilvl w:val="0"/>
          <w:numId w:val="3"/>
        </w:numPr>
        <w:spacing w:line="360" w:lineRule="atLeast"/>
        <w:jc w:val="both"/>
        <w:rPr>
          <w:sz w:val="28"/>
          <w:szCs w:val="28"/>
          <w:lang w:val="el-GR"/>
        </w:rPr>
      </w:pPr>
      <w:r w:rsidRPr="00BF674F">
        <w:rPr>
          <w:sz w:val="28"/>
          <w:szCs w:val="28"/>
          <w:lang w:val="el-GR"/>
        </w:rPr>
        <w:t>Να αυξηθούν</w:t>
      </w:r>
      <w:r w:rsidR="00A8782E" w:rsidRPr="00BF674F">
        <w:rPr>
          <w:sz w:val="28"/>
          <w:szCs w:val="28"/>
          <w:lang w:val="el-GR"/>
        </w:rPr>
        <w:t xml:space="preserve"> </w:t>
      </w:r>
      <w:r w:rsidRPr="00BF674F">
        <w:rPr>
          <w:sz w:val="28"/>
          <w:szCs w:val="28"/>
          <w:lang w:val="el-GR"/>
        </w:rPr>
        <w:t>οι</w:t>
      </w:r>
      <w:r w:rsidR="00A8782E" w:rsidRPr="00BF674F">
        <w:rPr>
          <w:sz w:val="28"/>
          <w:szCs w:val="28"/>
          <w:lang w:val="el-GR"/>
        </w:rPr>
        <w:t xml:space="preserve"> </w:t>
      </w:r>
      <w:r w:rsidRPr="00BF674F">
        <w:rPr>
          <w:sz w:val="28"/>
          <w:szCs w:val="28"/>
          <w:lang w:val="el-GR"/>
        </w:rPr>
        <w:t>δόσεις καταβολής</w:t>
      </w:r>
      <w:r w:rsidR="00A8782E" w:rsidRPr="00BF674F">
        <w:rPr>
          <w:sz w:val="28"/>
          <w:szCs w:val="28"/>
          <w:lang w:val="el-GR"/>
        </w:rPr>
        <w:t xml:space="preserve"> των αναδρομικώ</w:t>
      </w:r>
      <w:r w:rsidRPr="00BF674F">
        <w:rPr>
          <w:sz w:val="28"/>
          <w:szCs w:val="28"/>
          <w:lang w:val="el-GR"/>
        </w:rPr>
        <w:t xml:space="preserve">ς </w:t>
      </w:r>
      <w:proofErr w:type="spellStart"/>
      <w:r w:rsidRPr="00BF674F">
        <w:rPr>
          <w:sz w:val="28"/>
          <w:szCs w:val="28"/>
          <w:lang w:val="el-GR"/>
        </w:rPr>
        <w:t>οφειλομένων</w:t>
      </w:r>
      <w:proofErr w:type="spellEnd"/>
      <w:r w:rsidRPr="00BF674F">
        <w:rPr>
          <w:sz w:val="28"/>
          <w:szCs w:val="28"/>
          <w:lang w:val="el-GR"/>
        </w:rPr>
        <w:t xml:space="preserve"> εισφορών</w:t>
      </w:r>
      <w:r w:rsidR="00A8782E" w:rsidRPr="00BF674F">
        <w:rPr>
          <w:sz w:val="28"/>
          <w:szCs w:val="28"/>
          <w:lang w:val="el-GR"/>
        </w:rPr>
        <w:t>.</w:t>
      </w:r>
    </w:p>
    <w:p w14:paraId="4DA29126" w14:textId="1BF3CD15" w:rsidR="003011E1" w:rsidRPr="00BF674F" w:rsidRDefault="003011E1" w:rsidP="003011E1">
      <w:pPr>
        <w:spacing w:line="360" w:lineRule="atLeast"/>
        <w:jc w:val="both"/>
        <w:rPr>
          <w:sz w:val="28"/>
          <w:szCs w:val="28"/>
          <w:lang w:val="el-GR"/>
        </w:rPr>
      </w:pPr>
    </w:p>
    <w:p w14:paraId="730F552D" w14:textId="7A20494B" w:rsidR="003011E1" w:rsidRPr="00BF674F" w:rsidRDefault="003011E1" w:rsidP="003011E1">
      <w:pPr>
        <w:spacing w:line="360" w:lineRule="atLeast"/>
        <w:jc w:val="both"/>
        <w:rPr>
          <w:b/>
          <w:sz w:val="28"/>
          <w:szCs w:val="28"/>
          <w:u w:val="single"/>
          <w:lang w:val="el-GR"/>
        </w:rPr>
      </w:pPr>
      <w:r w:rsidRPr="00BF674F">
        <w:rPr>
          <w:b/>
          <w:sz w:val="28"/>
          <w:szCs w:val="28"/>
          <w:u w:val="single"/>
          <w:lang w:val="el-GR"/>
        </w:rPr>
        <w:t>Β. Για το ζήτημα της ασφαλιστικής ικανότητας</w:t>
      </w:r>
    </w:p>
    <w:p w14:paraId="72825B03" w14:textId="43A8C6CB" w:rsidR="0067768C" w:rsidRPr="00BF674F" w:rsidRDefault="0067768C" w:rsidP="0067768C">
      <w:pPr>
        <w:spacing w:line="360" w:lineRule="atLeast"/>
        <w:rPr>
          <w:sz w:val="28"/>
          <w:szCs w:val="28"/>
          <w:lang w:val="el-GR"/>
        </w:rPr>
      </w:pPr>
    </w:p>
    <w:p w14:paraId="00756041" w14:textId="6BC156D1" w:rsidR="003011E1" w:rsidRPr="00BF674F" w:rsidRDefault="003011E1" w:rsidP="003011E1">
      <w:pPr>
        <w:spacing w:line="360" w:lineRule="atLeast"/>
        <w:rPr>
          <w:sz w:val="28"/>
          <w:szCs w:val="28"/>
          <w:lang w:val="el-GR"/>
        </w:rPr>
      </w:pPr>
      <w:r w:rsidRPr="00BF674F">
        <w:rPr>
          <w:sz w:val="28"/>
          <w:szCs w:val="28"/>
          <w:lang w:val="el-GR"/>
        </w:rPr>
        <w:t xml:space="preserve">1.       Να αποδοθεί άμεσα ασφαλιστική ικανότητα σε όλους τους δικηγόρους, μέχρι να </w:t>
      </w:r>
      <w:r w:rsidR="007B1E9C" w:rsidRPr="00BF674F">
        <w:rPr>
          <w:sz w:val="28"/>
          <w:szCs w:val="28"/>
          <w:lang w:val="el-GR"/>
        </w:rPr>
        <w:t>επιλυθούν</w:t>
      </w:r>
      <w:r w:rsidRPr="00BF674F">
        <w:rPr>
          <w:sz w:val="28"/>
          <w:szCs w:val="28"/>
          <w:lang w:val="el-GR"/>
        </w:rPr>
        <w:t xml:space="preserve"> τα προβλήματα που έχουν εντοπιστεί.</w:t>
      </w:r>
    </w:p>
    <w:p w14:paraId="31FA4B19" w14:textId="0EBEA3C1" w:rsidR="003011E1" w:rsidRPr="00BF674F" w:rsidRDefault="003011E1" w:rsidP="003011E1">
      <w:pPr>
        <w:spacing w:line="360" w:lineRule="atLeast"/>
        <w:rPr>
          <w:sz w:val="28"/>
          <w:szCs w:val="28"/>
          <w:lang w:val="el-GR"/>
        </w:rPr>
      </w:pPr>
      <w:r w:rsidRPr="00BF674F">
        <w:rPr>
          <w:sz w:val="28"/>
          <w:szCs w:val="28"/>
          <w:lang w:val="el-GR"/>
        </w:rPr>
        <w:t>2.       Να μην αφαιρείται η ασφαλιστική ικανότητα χωρίς προηγούμενη ενημέρωση και πρόσκληση για ρύθμιση τυχόν εκκρεμοτήτων.</w:t>
      </w:r>
    </w:p>
    <w:p w14:paraId="6A1FBB5F" w14:textId="77777777" w:rsidR="003011E1" w:rsidRPr="00BF674F" w:rsidRDefault="003011E1" w:rsidP="003011E1">
      <w:pPr>
        <w:spacing w:line="360" w:lineRule="atLeast"/>
        <w:jc w:val="both"/>
        <w:rPr>
          <w:sz w:val="28"/>
          <w:szCs w:val="28"/>
          <w:lang w:val="el-GR"/>
        </w:rPr>
      </w:pPr>
      <w:r w:rsidRPr="00BF674F">
        <w:rPr>
          <w:sz w:val="28"/>
          <w:szCs w:val="28"/>
          <w:lang w:val="el-GR"/>
        </w:rPr>
        <w:t>3.       Να δημιουργηθεί  πλατφόρμα για την ηλεκτρονική απόδοση ασφαλιστικής ικανότητας, με δυνατότητα ηλεκτρονικής κατάθεσης δικαιολογητικών από ασφαλισμένους. Η πλατφόρμα να επικοινωνεί σε πραγματικό χρόνο με αυτές των εισφορών μη μισθωτών και ΑΠΔ ώστε να υπάρχει άμεση ενημέρωση για την εκπλήρωση των ασφαλιστικών υποχρεώσεων.</w:t>
      </w:r>
    </w:p>
    <w:p w14:paraId="5E64272E" w14:textId="77777777" w:rsidR="003011E1" w:rsidRPr="00BF674F" w:rsidRDefault="003011E1" w:rsidP="003011E1">
      <w:pPr>
        <w:spacing w:line="360" w:lineRule="atLeast"/>
        <w:rPr>
          <w:sz w:val="28"/>
          <w:szCs w:val="28"/>
          <w:lang w:val="el-GR"/>
        </w:rPr>
      </w:pPr>
      <w:r w:rsidRPr="00BF674F">
        <w:rPr>
          <w:sz w:val="28"/>
          <w:szCs w:val="28"/>
          <w:lang w:val="el-GR"/>
        </w:rPr>
        <w:t>4.       Να ενισχυθούν άμεσα με προσωπικό (μονίμους και ωφελούμενους ΟΑΕΔ) οι μονάδες που εξυπηρετούν δικηγόρους για την οριστική διεκπεραίωση όλων των εκκρεμών ζητημάτων.</w:t>
      </w:r>
    </w:p>
    <w:p w14:paraId="3CDF4006" w14:textId="433FF504" w:rsidR="003011E1" w:rsidRPr="00BF674F" w:rsidRDefault="003011E1" w:rsidP="003011E1">
      <w:pPr>
        <w:spacing w:line="360" w:lineRule="atLeast"/>
        <w:rPr>
          <w:sz w:val="28"/>
          <w:szCs w:val="28"/>
          <w:lang w:val="el-GR"/>
        </w:rPr>
      </w:pPr>
      <w:r w:rsidRPr="00BF674F">
        <w:rPr>
          <w:sz w:val="28"/>
          <w:szCs w:val="28"/>
          <w:lang w:val="el-GR"/>
        </w:rPr>
        <w:t>5. Να τροποποιηθεί άμεσα ο Οργανισμός του ΕΦΚΑ με διατήρηση των Οργανικών Μονάδων που εξυπηρετούν Δικηγόρους (ΤΑΝ, ΤΥΔΑ, ΤΥΔΠ, ΤΥΔΕ, ΤΥΔΘ).</w:t>
      </w:r>
    </w:p>
    <w:sectPr w:rsidR="003011E1" w:rsidRPr="00BF6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B796B"/>
    <w:multiLevelType w:val="hybridMultilevel"/>
    <w:tmpl w:val="7D0E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C5247"/>
    <w:multiLevelType w:val="hybridMultilevel"/>
    <w:tmpl w:val="52F2A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E51B1"/>
    <w:multiLevelType w:val="hybridMultilevel"/>
    <w:tmpl w:val="9392B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DB"/>
    <w:rsid w:val="000411C8"/>
    <w:rsid w:val="000F47C0"/>
    <w:rsid w:val="00222EC9"/>
    <w:rsid w:val="002C407A"/>
    <w:rsid w:val="003011E1"/>
    <w:rsid w:val="00460117"/>
    <w:rsid w:val="0067768C"/>
    <w:rsid w:val="00734821"/>
    <w:rsid w:val="007B1E9C"/>
    <w:rsid w:val="00887625"/>
    <w:rsid w:val="008C56DB"/>
    <w:rsid w:val="00A32B61"/>
    <w:rsid w:val="00A53D19"/>
    <w:rsid w:val="00A8782E"/>
    <w:rsid w:val="00BB0820"/>
    <w:rsid w:val="00BF674F"/>
    <w:rsid w:val="00D1031D"/>
    <w:rsid w:val="00D17949"/>
    <w:rsid w:val="00E82B20"/>
    <w:rsid w:val="00F83FAC"/>
    <w:rsid w:val="00FB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A77E"/>
  <w15:chartTrackingRefBased/>
  <w15:docId w15:val="{F78AC8F5-F180-4F73-943A-7A2FDD77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6DB"/>
    <w:pPr>
      <w:ind w:left="720"/>
      <w:contextualSpacing/>
    </w:pPr>
  </w:style>
  <w:style w:type="paragraph" w:styleId="a4">
    <w:name w:val="Balloon Text"/>
    <w:basedOn w:val="a"/>
    <w:link w:val="Char"/>
    <w:uiPriority w:val="99"/>
    <w:semiHidden/>
    <w:unhideWhenUsed/>
    <w:rsid w:val="00BF674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F6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1525</Words>
  <Characters>8239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Koutsolampros</dc:creator>
  <cp:keywords/>
  <dc:description/>
  <cp:lastModifiedBy>gr-proedrou</cp:lastModifiedBy>
  <cp:revision>3</cp:revision>
  <cp:lastPrinted>2019-03-16T17:52:00Z</cp:lastPrinted>
  <dcterms:created xsi:type="dcterms:W3CDTF">2019-03-16T17:55:00Z</dcterms:created>
  <dcterms:modified xsi:type="dcterms:W3CDTF">2019-03-16T18:18:00Z</dcterms:modified>
</cp:coreProperties>
</file>