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B4643" w14:textId="190E8E4A" w:rsidR="0048496D" w:rsidRPr="004F677A" w:rsidRDefault="0048496D" w:rsidP="0048496D">
      <w:pPr>
        <w:rPr>
          <w:rFonts w:ascii="Times New Roman" w:hAnsi="Times New Roman" w:cs="Times New Roman"/>
          <w:b/>
          <w:sz w:val="24"/>
          <w:szCs w:val="24"/>
          <w:u w:val="single"/>
        </w:rPr>
      </w:pPr>
      <w:r w:rsidRPr="004F677A">
        <w:rPr>
          <w:rFonts w:ascii="Times New Roman" w:hAnsi="Times New Roman" w:cs="Times New Roman"/>
          <w:b/>
          <w:sz w:val="24"/>
          <w:szCs w:val="24"/>
          <w:u w:val="single"/>
        </w:rPr>
        <w:t>Συνεδρίαση Επιτροπής για το Μέλλον του Δικηγορικού Επαγγέλματος κ</w:t>
      </w:r>
      <w:r w:rsidR="00812A60">
        <w:rPr>
          <w:rFonts w:ascii="Times New Roman" w:hAnsi="Times New Roman" w:cs="Times New Roman"/>
          <w:b/>
          <w:sz w:val="24"/>
          <w:szCs w:val="24"/>
          <w:u w:val="single"/>
        </w:rPr>
        <w:t>αι των Νομικών Υπηρεσιών (P</w:t>
      </w:r>
      <w:bookmarkStart w:id="0" w:name="_GoBack"/>
      <w:bookmarkEnd w:id="0"/>
      <w:r w:rsidR="000077B1">
        <w:rPr>
          <w:rFonts w:ascii="Times New Roman" w:hAnsi="Times New Roman" w:cs="Times New Roman"/>
          <w:b/>
          <w:sz w:val="24"/>
          <w:szCs w:val="24"/>
          <w:u w:val="single"/>
        </w:rPr>
        <w:t>orto 16.5</w:t>
      </w:r>
      <w:r>
        <w:rPr>
          <w:rFonts w:ascii="Times New Roman" w:hAnsi="Times New Roman" w:cs="Times New Roman"/>
          <w:b/>
          <w:sz w:val="24"/>
          <w:szCs w:val="24"/>
          <w:u w:val="single"/>
        </w:rPr>
        <w:t>.</w:t>
      </w:r>
      <w:r w:rsidRPr="004F677A">
        <w:rPr>
          <w:rFonts w:ascii="Times New Roman" w:hAnsi="Times New Roman" w:cs="Times New Roman"/>
          <w:b/>
          <w:sz w:val="24"/>
          <w:szCs w:val="24"/>
          <w:u w:val="single"/>
        </w:rPr>
        <w:t xml:space="preserve">2019) </w:t>
      </w:r>
    </w:p>
    <w:p w14:paraId="0C234299" w14:textId="77777777" w:rsidR="0048496D" w:rsidRPr="004F677A" w:rsidRDefault="0048496D" w:rsidP="0048496D">
      <w:pPr>
        <w:rPr>
          <w:rFonts w:ascii="Times New Roman" w:hAnsi="Times New Roman" w:cs="Times New Roman"/>
          <w:b/>
          <w:sz w:val="24"/>
          <w:szCs w:val="24"/>
          <w:u w:val="single"/>
        </w:rPr>
      </w:pPr>
      <w:r w:rsidRPr="004F677A">
        <w:rPr>
          <w:rFonts w:ascii="Times New Roman" w:hAnsi="Times New Roman" w:cs="Times New Roman"/>
          <w:b/>
          <w:sz w:val="24"/>
          <w:szCs w:val="24"/>
          <w:u w:val="single"/>
        </w:rPr>
        <w:t>Συμμετέχοντες: Παναγιώτ</w:t>
      </w:r>
      <w:r>
        <w:rPr>
          <w:rFonts w:ascii="Times New Roman" w:hAnsi="Times New Roman" w:cs="Times New Roman"/>
          <w:b/>
          <w:sz w:val="24"/>
          <w:szCs w:val="24"/>
          <w:u w:val="single"/>
        </w:rPr>
        <w:t>ης Περάκης</w:t>
      </w:r>
      <w:r w:rsidRPr="004F677A">
        <w:rPr>
          <w:rFonts w:ascii="Times New Roman" w:hAnsi="Times New Roman" w:cs="Times New Roman"/>
          <w:b/>
          <w:sz w:val="24"/>
          <w:szCs w:val="24"/>
          <w:u w:val="single"/>
        </w:rPr>
        <w:t xml:space="preserve"> (Ελληνική Αντιπροσωπεία/Δ.Σ.Α)</w:t>
      </w:r>
      <w:r>
        <w:rPr>
          <w:rFonts w:ascii="Times New Roman" w:hAnsi="Times New Roman" w:cs="Times New Roman"/>
          <w:b/>
          <w:sz w:val="24"/>
          <w:szCs w:val="24"/>
          <w:u w:val="single"/>
        </w:rPr>
        <w:t>, Μαρία Σταματογιάννη (ΔΣΠ)</w:t>
      </w:r>
    </w:p>
    <w:p w14:paraId="3FBE9B48" w14:textId="77777777" w:rsidR="0048496D" w:rsidRPr="004F677A" w:rsidRDefault="0048496D" w:rsidP="0048496D">
      <w:pPr>
        <w:jc w:val="center"/>
        <w:rPr>
          <w:rFonts w:ascii="Times New Roman" w:hAnsi="Times New Roman" w:cs="Times New Roman"/>
          <w:b/>
          <w:sz w:val="24"/>
          <w:szCs w:val="24"/>
        </w:rPr>
      </w:pPr>
      <w:r w:rsidRPr="004F677A">
        <w:rPr>
          <w:rFonts w:ascii="Times New Roman" w:hAnsi="Times New Roman" w:cs="Times New Roman"/>
          <w:b/>
          <w:sz w:val="24"/>
          <w:szCs w:val="24"/>
        </w:rPr>
        <w:t>…….....................................................................................</w:t>
      </w:r>
    </w:p>
    <w:p w14:paraId="0E57FFBD" w14:textId="592A4C9D" w:rsidR="0048496D" w:rsidRPr="004F677A" w:rsidRDefault="0048496D" w:rsidP="0048496D">
      <w:pPr>
        <w:jc w:val="both"/>
        <w:rPr>
          <w:rFonts w:ascii="Times New Roman" w:hAnsi="Times New Roman" w:cs="Times New Roman"/>
          <w:sz w:val="24"/>
          <w:szCs w:val="24"/>
        </w:rPr>
      </w:pPr>
      <w:r w:rsidRPr="004F677A">
        <w:rPr>
          <w:rFonts w:ascii="Times New Roman" w:hAnsi="Times New Roman" w:cs="Times New Roman"/>
          <w:sz w:val="24"/>
          <w:szCs w:val="24"/>
        </w:rPr>
        <w:t>Συνεδρίασε στ</w:t>
      </w:r>
      <w:r w:rsidR="000077B1">
        <w:rPr>
          <w:rFonts w:ascii="Times New Roman" w:hAnsi="Times New Roman" w:cs="Times New Roman"/>
          <w:sz w:val="24"/>
          <w:szCs w:val="24"/>
        </w:rPr>
        <w:t xml:space="preserve">o Πόρτο </w:t>
      </w:r>
      <w:r>
        <w:rPr>
          <w:rFonts w:ascii="Times New Roman" w:hAnsi="Times New Roman" w:cs="Times New Roman"/>
          <w:sz w:val="24"/>
          <w:szCs w:val="24"/>
        </w:rPr>
        <w:t>την Πέ</w:t>
      </w:r>
      <w:r w:rsidR="000077B1">
        <w:rPr>
          <w:rFonts w:ascii="Times New Roman" w:hAnsi="Times New Roman" w:cs="Times New Roman"/>
          <w:sz w:val="24"/>
          <w:szCs w:val="24"/>
        </w:rPr>
        <w:t>μπτη 16.5</w:t>
      </w:r>
      <w:r>
        <w:rPr>
          <w:rFonts w:ascii="Times New Roman" w:hAnsi="Times New Roman" w:cs="Times New Roman"/>
          <w:sz w:val="24"/>
          <w:szCs w:val="24"/>
        </w:rPr>
        <w:t>.2019</w:t>
      </w:r>
      <w:r w:rsidRPr="004F677A">
        <w:rPr>
          <w:rFonts w:ascii="Times New Roman" w:hAnsi="Times New Roman" w:cs="Times New Roman"/>
          <w:sz w:val="24"/>
          <w:szCs w:val="24"/>
        </w:rPr>
        <w:t xml:space="preserve"> η Επιτροπή </w:t>
      </w:r>
      <w:r>
        <w:rPr>
          <w:rFonts w:ascii="Times New Roman" w:hAnsi="Times New Roman" w:cs="Times New Roman"/>
          <w:sz w:val="24"/>
          <w:szCs w:val="24"/>
        </w:rPr>
        <w:t xml:space="preserve">του </w:t>
      </w:r>
      <w:r>
        <w:rPr>
          <w:rFonts w:ascii="Times New Roman" w:hAnsi="Times New Roman" w:cs="Times New Roman"/>
          <w:sz w:val="24"/>
          <w:szCs w:val="24"/>
          <w:lang w:val="en-US"/>
        </w:rPr>
        <w:t>CCBE</w:t>
      </w:r>
      <w:r w:rsidRPr="00232950">
        <w:rPr>
          <w:rFonts w:ascii="Times New Roman" w:hAnsi="Times New Roman" w:cs="Times New Roman"/>
          <w:sz w:val="24"/>
          <w:szCs w:val="24"/>
        </w:rPr>
        <w:t xml:space="preserve"> </w:t>
      </w:r>
      <w:r w:rsidRPr="004F677A">
        <w:rPr>
          <w:rFonts w:ascii="Times New Roman" w:hAnsi="Times New Roman" w:cs="Times New Roman"/>
          <w:sz w:val="24"/>
          <w:szCs w:val="24"/>
        </w:rPr>
        <w:t>για το Μέλλον του Δικηγορικού Επαγγέλματος και των Νομικών Υπηρεσιών (</w:t>
      </w:r>
      <w:r w:rsidRPr="004F677A">
        <w:rPr>
          <w:rFonts w:ascii="Times New Roman" w:hAnsi="Times New Roman" w:cs="Times New Roman"/>
          <w:sz w:val="24"/>
          <w:szCs w:val="24"/>
          <w:lang w:val="en-US"/>
        </w:rPr>
        <w:t>Future</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of</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the</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Legal</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Profession</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and</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Legal</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Services</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Committee</w:t>
      </w:r>
      <w:r w:rsidRPr="004F677A">
        <w:rPr>
          <w:rFonts w:ascii="Times New Roman" w:hAnsi="Times New Roman" w:cs="Times New Roman"/>
          <w:sz w:val="24"/>
          <w:szCs w:val="24"/>
        </w:rPr>
        <w:t>). Στη συνεδρίαση από ελληνικής πλευράς συμμετείχε ο Παναγιώτης Περάκης</w:t>
      </w:r>
      <w:r>
        <w:rPr>
          <w:rFonts w:ascii="Times New Roman" w:hAnsi="Times New Roman" w:cs="Times New Roman"/>
          <w:sz w:val="24"/>
          <w:szCs w:val="24"/>
        </w:rPr>
        <w:t xml:space="preserve"> και η Μαρία Σταματογιάννη.</w:t>
      </w:r>
    </w:p>
    <w:p w14:paraId="60FA9C52" w14:textId="0F021A91" w:rsidR="0048496D" w:rsidRDefault="0048496D" w:rsidP="0048496D">
      <w:pPr>
        <w:jc w:val="both"/>
        <w:rPr>
          <w:rFonts w:ascii="Times New Roman" w:hAnsi="Times New Roman" w:cs="Times New Roman"/>
          <w:sz w:val="24"/>
          <w:szCs w:val="24"/>
        </w:rPr>
      </w:pPr>
      <w:r w:rsidRPr="004F677A">
        <w:rPr>
          <w:rFonts w:ascii="Times New Roman" w:hAnsi="Times New Roman" w:cs="Times New Roman"/>
          <w:sz w:val="24"/>
          <w:szCs w:val="24"/>
        </w:rPr>
        <w:t>Τα σπουδαιότερα σημεία της συνεδρίασης</w:t>
      </w:r>
      <w:r w:rsidR="000077B1">
        <w:rPr>
          <w:rFonts w:ascii="Times New Roman" w:hAnsi="Times New Roman" w:cs="Times New Roman"/>
          <w:sz w:val="24"/>
          <w:szCs w:val="24"/>
        </w:rPr>
        <w:t xml:space="preserve">, την οποία μονοπώλησαν τα σχετικά με την τεχνητή νοημοσύνη ζητήματα, </w:t>
      </w:r>
      <w:r w:rsidRPr="004F677A">
        <w:rPr>
          <w:rFonts w:ascii="Times New Roman" w:hAnsi="Times New Roman" w:cs="Times New Roman"/>
          <w:sz w:val="24"/>
          <w:szCs w:val="24"/>
        </w:rPr>
        <w:t xml:space="preserve"> ήταν τα ακόλουθα:</w:t>
      </w:r>
    </w:p>
    <w:p w14:paraId="3DF91275" w14:textId="465852F1" w:rsidR="000077B1" w:rsidRPr="000077B1" w:rsidRDefault="000077B1" w:rsidP="000077B1">
      <w:pPr>
        <w:spacing w:after="240" w:line="360" w:lineRule="auto"/>
        <w:jc w:val="both"/>
        <w:rPr>
          <w:rFonts w:ascii="Times New Roman" w:hAnsi="Times New Roman" w:cs="Times New Roman"/>
          <w:b/>
          <w:sz w:val="24"/>
          <w:szCs w:val="24"/>
          <w:lang w:val="en-GB"/>
        </w:rPr>
      </w:pPr>
      <w:r>
        <w:rPr>
          <w:rFonts w:ascii="Times New Roman" w:hAnsi="Times New Roman" w:cs="Times New Roman"/>
          <w:sz w:val="24"/>
          <w:szCs w:val="24"/>
        </w:rPr>
        <w:t xml:space="preserve">1. Μετά από την επικύρωση </w:t>
      </w:r>
      <w:r w:rsidRPr="000077B1">
        <w:rPr>
          <w:rFonts w:ascii="Times New Roman" w:hAnsi="Times New Roman" w:cs="Times New Roman"/>
          <w:sz w:val="24"/>
          <w:szCs w:val="24"/>
        </w:rPr>
        <w:t>των πρακτικών της προηγούμενης συνεδρίασης (</w:t>
      </w:r>
      <w:hyperlink r:id="rId5" w:history="1">
        <w:r w:rsidRPr="000077B1">
          <w:rPr>
            <w:rStyle w:val="Hyperlink"/>
            <w:rFonts w:ascii="Times New Roman" w:hAnsi="Times New Roman" w:cs="Times New Roman"/>
            <w:sz w:val="24"/>
            <w:szCs w:val="24"/>
          </w:rPr>
          <w:t>Ρώμη, 28.03.2019</w:t>
        </w:r>
      </w:hyperlink>
      <w:r w:rsidRPr="000077B1">
        <w:rPr>
          <w:rFonts w:ascii="Times New Roman" w:hAnsi="Times New Roman" w:cs="Times New Roman"/>
          <w:sz w:val="24"/>
          <w:szCs w:val="24"/>
        </w:rPr>
        <w:t xml:space="preserve">) ο Πρόεδρος ανέφερε ότι το θέμα της </w:t>
      </w:r>
      <w:r>
        <w:rPr>
          <w:rFonts w:ascii="Times New Roman" w:hAnsi="Times New Roman" w:cs="Times New Roman"/>
          <w:sz w:val="24"/>
          <w:szCs w:val="24"/>
        </w:rPr>
        <w:t>τεχνητής νοημοσύνης (</w:t>
      </w:r>
      <w:r w:rsidRPr="000077B1">
        <w:rPr>
          <w:rFonts w:ascii="Times New Roman" w:hAnsi="Times New Roman" w:cs="Times New Roman"/>
          <w:sz w:val="24"/>
          <w:szCs w:val="24"/>
        </w:rPr>
        <w:t>ΤΝ</w:t>
      </w:r>
      <w:r>
        <w:rPr>
          <w:rFonts w:ascii="Times New Roman" w:hAnsi="Times New Roman" w:cs="Times New Roman"/>
          <w:sz w:val="24"/>
          <w:szCs w:val="24"/>
        </w:rPr>
        <w:t>) απασχολεί ήδη πολλές Ε</w:t>
      </w:r>
      <w:r w:rsidRPr="000077B1">
        <w:rPr>
          <w:rFonts w:ascii="Times New Roman" w:hAnsi="Times New Roman" w:cs="Times New Roman"/>
          <w:sz w:val="24"/>
          <w:szCs w:val="24"/>
        </w:rPr>
        <w:t xml:space="preserve">πιτροπές </w:t>
      </w:r>
      <w:r>
        <w:rPr>
          <w:rFonts w:ascii="Times New Roman" w:hAnsi="Times New Roman" w:cs="Times New Roman"/>
          <w:sz w:val="24"/>
          <w:szCs w:val="24"/>
        </w:rPr>
        <w:t xml:space="preserve">του </w:t>
      </w:r>
      <w:r>
        <w:rPr>
          <w:rFonts w:ascii="Times New Roman" w:hAnsi="Times New Roman" w:cs="Times New Roman"/>
          <w:sz w:val="24"/>
          <w:szCs w:val="24"/>
          <w:lang w:val="en-GB"/>
        </w:rPr>
        <w:t xml:space="preserve">CCBE </w:t>
      </w:r>
      <w:r w:rsidRPr="000077B1">
        <w:rPr>
          <w:rFonts w:ascii="Times New Roman" w:hAnsi="Times New Roman" w:cs="Times New Roman"/>
          <w:sz w:val="24"/>
          <w:szCs w:val="24"/>
        </w:rPr>
        <w:t>(πληροφορικής, ανθρωπίνων δικαιωμάτων, δικηγορικού απορρήτου κ</w:t>
      </w:r>
      <w:r>
        <w:rPr>
          <w:rFonts w:ascii="Times New Roman" w:hAnsi="Times New Roman" w:cs="Times New Roman"/>
          <w:sz w:val="24"/>
          <w:szCs w:val="24"/>
        </w:rPr>
        <w:t>λπ.)</w:t>
      </w:r>
      <w:r w:rsidRPr="000077B1">
        <w:rPr>
          <w:rFonts w:ascii="Times New Roman" w:hAnsi="Times New Roman" w:cs="Times New Roman"/>
          <w:sz w:val="24"/>
          <w:szCs w:val="24"/>
        </w:rPr>
        <w:t xml:space="preserve"> και τα πορίσματα παρουσιαστούν στην επόμενη σύνοδο</w:t>
      </w:r>
      <w:r>
        <w:rPr>
          <w:rFonts w:ascii="Times New Roman" w:hAnsi="Times New Roman" w:cs="Times New Roman"/>
          <w:sz w:val="24"/>
          <w:szCs w:val="24"/>
        </w:rPr>
        <w:t xml:space="preserve">, στις Βρυξέλλες </w:t>
      </w:r>
      <w:r w:rsidRPr="000077B1">
        <w:rPr>
          <w:rFonts w:ascii="Times New Roman" w:hAnsi="Times New Roman" w:cs="Times New Roman"/>
          <w:sz w:val="24"/>
          <w:szCs w:val="24"/>
        </w:rPr>
        <w:t xml:space="preserve">τον Ιούνιο. Θα πρέπει λοιπόν να οριστούν αρμόδιοι επικοινωνίας και να συνεργαστούν οι επιμέρους ειδικοί, προκειμένου να δοθούν εγκαίρως τα σχόλια στα 250-300 σημεία ενδιαφέροντος που περιλαμβάνει το τελευταίο </w:t>
      </w:r>
      <w:hyperlink r:id="rId6" w:history="1">
        <w:r w:rsidRPr="000077B1">
          <w:rPr>
            <w:rStyle w:val="Hyperlink"/>
            <w:rFonts w:ascii="Times New Roman" w:hAnsi="Times New Roman" w:cs="Times New Roman"/>
            <w:sz w:val="24"/>
            <w:szCs w:val="24"/>
          </w:rPr>
          <w:t>σχέδιο</w:t>
        </w:r>
      </w:hyperlink>
      <w:r w:rsidRPr="000077B1">
        <w:rPr>
          <w:rFonts w:ascii="Times New Roman" w:hAnsi="Times New Roman" w:cs="Times New Roman"/>
          <w:sz w:val="24"/>
          <w:szCs w:val="24"/>
        </w:rPr>
        <w:t xml:space="preserve"> του οδηγού που εκπονεί η Ομάδα Εργασίας (</w:t>
      </w:r>
      <w:r w:rsidRPr="000077B1">
        <w:rPr>
          <w:rFonts w:ascii="Times New Roman" w:hAnsi="Times New Roman" w:cs="Times New Roman"/>
          <w:sz w:val="24"/>
          <w:szCs w:val="24"/>
          <w:lang w:val="en-US"/>
        </w:rPr>
        <w:t>HLEG</w:t>
      </w:r>
      <w:r w:rsidRPr="000077B1">
        <w:rPr>
          <w:rFonts w:ascii="Times New Roman" w:hAnsi="Times New Roman" w:cs="Times New Roman"/>
          <w:sz w:val="24"/>
          <w:szCs w:val="24"/>
        </w:rPr>
        <w:t xml:space="preserve">) </w:t>
      </w:r>
      <w:r>
        <w:rPr>
          <w:rFonts w:ascii="Times New Roman" w:hAnsi="Times New Roman" w:cs="Times New Roman"/>
          <w:sz w:val="24"/>
          <w:szCs w:val="24"/>
        </w:rPr>
        <w:t xml:space="preserve">της Επιτροπής ΕΕ, </w:t>
      </w:r>
      <w:r w:rsidRPr="000077B1">
        <w:rPr>
          <w:rFonts w:ascii="Times New Roman" w:hAnsi="Times New Roman" w:cs="Times New Roman"/>
          <w:sz w:val="24"/>
          <w:szCs w:val="24"/>
        </w:rPr>
        <w:t xml:space="preserve">παρόλο </w:t>
      </w:r>
      <w:r>
        <w:rPr>
          <w:rFonts w:ascii="Times New Roman" w:hAnsi="Times New Roman" w:cs="Times New Roman"/>
          <w:sz w:val="24"/>
          <w:szCs w:val="24"/>
        </w:rPr>
        <w:t xml:space="preserve">βεβαίως </w:t>
      </w:r>
      <w:r w:rsidRPr="000077B1">
        <w:rPr>
          <w:rFonts w:ascii="Times New Roman" w:hAnsi="Times New Roman" w:cs="Times New Roman"/>
          <w:sz w:val="24"/>
          <w:szCs w:val="24"/>
        </w:rPr>
        <w:t xml:space="preserve">που το έγγραφο </w:t>
      </w:r>
      <w:r>
        <w:rPr>
          <w:rFonts w:ascii="Times New Roman" w:hAnsi="Times New Roman" w:cs="Times New Roman"/>
          <w:sz w:val="24"/>
          <w:szCs w:val="24"/>
        </w:rPr>
        <w:t xml:space="preserve">αυτό </w:t>
      </w:r>
      <w:r w:rsidRPr="000077B1">
        <w:rPr>
          <w:rFonts w:ascii="Times New Roman" w:hAnsi="Times New Roman" w:cs="Times New Roman"/>
          <w:sz w:val="24"/>
          <w:szCs w:val="24"/>
        </w:rPr>
        <w:t xml:space="preserve">δεν ασχολείται </w:t>
      </w:r>
      <w:r>
        <w:rPr>
          <w:rFonts w:ascii="Times New Roman" w:hAnsi="Times New Roman" w:cs="Times New Roman"/>
          <w:sz w:val="24"/>
          <w:szCs w:val="24"/>
        </w:rPr>
        <w:t xml:space="preserve">ακόμη </w:t>
      </w:r>
      <w:r w:rsidRPr="000077B1">
        <w:rPr>
          <w:rFonts w:ascii="Times New Roman" w:hAnsi="Times New Roman" w:cs="Times New Roman"/>
          <w:sz w:val="24"/>
          <w:szCs w:val="24"/>
        </w:rPr>
        <w:t>με το θεσμικό πλαίσιο χρήσης ΤΝ σ</w:t>
      </w:r>
      <w:r>
        <w:rPr>
          <w:rFonts w:ascii="Times New Roman" w:hAnsi="Times New Roman" w:cs="Times New Roman"/>
          <w:sz w:val="24"/>
          <w:szCs w:val="24"/>
        </w:rPr>
        <w:t>το σύστημα απονομής Δικαιοσύνης</w:t>
      </w:r>
      <w:r w:rsidRPr="000077B1">
        <w:rPr>
          <w:rFonts w:ascii="Times New Roman" w:hAnsi="Times New Roman" w:cs="Times New Roman"/>
          <w:sz w:val="24"/>
          <w:szCs w:val="24"/>
        </w:rPr>
        <w:t>.</w:t>
      </w:r>
    </w:p>
    <w:p w14:paraId="1745DFE9" w14:textId="2FEDE3D3" w:rsidR="000077B1" w:rsidRPr="000077B1" w:rsidRDefault="000077B1" w:rsidP="000077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2. Τα μέλη</w:t>
      </w:r>
      <w:r w:rsidRPr="000077B1">
        <w:rPr>
          <w:rFonts w:ascii="Times New Roman" w:hAnsi="Times New Roman" w:cs="Times New Roman"/>
          <w:sz w:val="24"/>
          <w:szCs w:val="24"/>
        </w:rPr>
        <w:t xml:space="preserve"> της Επιτροπής </w:t>
      </w:r>
      <w:r>
        <w:rPr>
          <w:rFonts w:ascii="Times New Roman" w:hAnsi="Times New Roman" w:cs="Times New Roman"/>
          <w:sz w:val="24"/>
          <w:szCs w:val="24"/>
        </w:rPr>
        <w:t xml:space="preserve">ενημερώθηκαν για τις εξελίξεις σχετικά με την τεχνητή νοημοσύνη και τη ρυθμιστική προσέγγισή της σε ευρωπαϊκό επίπεδο: </w:t>
      </w:r>
      <w:r w:rsidRPr="000077B1">
        <w:rPr>
          <w:rFonts w:ascii="Times New Roman" w:hAnsi="Times New Roman" w:cs="Times New Roman"/>
          <w:sz w:val="24"/>
          <w:szCs w:val="24"/>
        </w:rPr>
        <w:t xml:space="preserve">οδηγός </w:t>
      </w:r>
      <w:r w:rsidRPr="000077B1">
        <w:rPr>
          <w:rFonts w:ascii="Times New Roman" w:hAnsi="Times New Roman" w:cs="Times New Roman"/>
          <w:sz w:val="24"/>
          <w:szCs w:val="24"/>
          <w:lang w:val="en-US"/>
        </w:rPr>
        <w:t>HLEG</w:t>
      </w:r>
      <w:r w:rsidRPr="000077B1">
        <w:rPr>
          <w:rFonts w:ascii="Times New Roman" w:hAnsi="Times New Roman" w:cs="Times New Roman"/>
          <w:sz w:val="24"/>
          <w:szCs w:val="24"/>
        </w:rPr>
        <w:t xml:space="preserve">, </w:t>
      </w:r>
      <w:hyperlink r:id="rId7" w:history="1">
        <w:r w:rsidRPr="000077B1">
          <w:rPr>
            <w:rStyle w:val="Hyperlink"/>
            <w:rFonts w:ascii="Times New Roman" w:hAnsi="Times New Roman" w:cs="Times New Roman"/>
            <w:sz w:val="24"/>
            <w:szCs w:val="24"/>
          </w:rPr>
          <w:t>έγγραφο της Επιτροπής προς το ΕΚ</w:t>
        </w:r>
      </w:hyperlink>
      <w:r w:rsidRPr="000077B1">
        <w:rPr>
          <w:rFonts w:ascii="Times New Roman" w:hAnsi="Times New Roman" w:cs="Times New Roman"/>
          <w:sz w:val="24"/>
          <w:szCs w:val="24"/>
        </w:rPr>
        <w:t xml:space="preserve"> για μια ανθρωπο</w:t>
      </w:r>
      <w:r w:rsidRPr="000077B1">
        <w:rPr>
          <w:rFonts w:ascii="Times New Roman" w:hAnsi="Times New Roman" w:cs="Times New Roman"/>
          <w:sz w:val="24"/>
          <w:szCs w:val="24"/>
        </w:rPr>
        <w:softHyphen/>
        <w:t xml:space="preserve">κεντρική ΤΝ, </w:t>
      </w:r>
      <w:hyperlink r:id="rId8" w:history="1">
        <w:r w:rsidRPr="000077B1">
          <w:rPr>
            <w:rStyle w:val="Hyperlink"/>
            <w:rFonts w:ascii="Times New Roman" w:hAnsi="Times New Roman" w:cs="Times New Roman"/>
            <w:sz w:val="24"/>
            <w:szCs w:val="24"/>
          </w:rPr>
          <w:t>ψήφισμα του ΕΚ</w:t>
        </w:r>
      </w:hyperlink>
      <w:r w:rsidRPr="000077B1">
        <w:rPr>
          <w:rFonts w:ascii="Times New Roman" w:hAnsi="Times New Roman" w:cs="Times New Roman"/>
          <w:sz w:val="24"/>
          <w:szCs w:val="24"/>
        </w:rPr>
        <w:t xml:space="preserve"> στο οποίο θίγονται παράμετροι όπως οι κοινω</w:t>
      </w:r>
      <w:r w:rsidRPr="000077B1">
        <w:rPr>
          <w:rFonts w:ascii="Times New Roman" w:hAnsi="Times New Roman" w:cs="Times New Roman"/>
          <w:sz w:val="24"/>
          <w:szCs w:val="24"/>
        </w:rPr>
        <w:softHyphen/>
        <w:t>νικο</w:t>
      </w:r>
      <w:r w:rsidRPr="000077B1">
        <w:rPr>
          <w:rFonts w:ascii="Times New Roman" w:hAnsi="Times New Roman" w:cs="Times New Roman"/>
          <w:sz w:val="24"/>
          <w:szCs w:val="24"/>
        </w:rPr>
        <w:softHyphen/>
        <w:t>οι</w:t>
      </w:r>
      <w:r w:rsidRPr="000077B1">
        <w:rPr>
          <w:rFonts w:ascii="Times New Roman" w:hAnsi="Times New Roman" w:cs="Times New Roman"/>
          <w:sz w:val="24"/>
          <w:szCs w:val="24"/>
        </w:rPr>
        <w:softHyphen/>
        <w:t>κονομικές επιπτώσεις της χρήσης ΤΝ στην αγορά εργασίας, η ασφαλής χρήση ΤΝ, τα ανθρώπινα δικαιώματα, η χρηματοδότηση προγραμμάτων ΤΝ αλλά και η επιφύλαξη προς εφαρμογές μηχανικής μάθησης (</w:t>
      </w:r>
      <w:r w:rsidRPr="000077B1">
        <w:rPr>
          <w:rFonts w:ascii="Times New Roman" w:hAnsi="Times New Roman" w:cs="Times New Roman"/>
          <w:sz w:val="24"/>
          <w:szCs w:val="24"/>
          <w:lang w:val="en-US"/>
        </w:rPr>
        <w:t>machine</w:t>
      </w:r>
      <w:r w:rsidRPr="000077B1">
        <w:rPr>
          <w:rFonts w:ascii="Times New Roman" w:hAnsi="Times New Roman" w:cs="Times New Roman"/>
          <w:sz w:val="24"/>
          <w:szCs w:val="24"/>
        </w:rPr>
        <w:t xml:space="preserve"> </w:t>
      </w:r>
      <w:r w:rsidRPr="000077B1">
        <w:rPr>
          <w:rFonts w:ascii="Times New Roman" w:hAnsi="Times New Roman" w:cs="Times New Roman"/>
          <w:sz w:val="24"/>
          <w:szCs w:val="24"/>
          <w:lang w:val="en-US"/>
        </w:rPr>
        <w:t>learning</w:t>
      </w:r>
      <w:r w:rsidRPr="000077B1">
        <w:rPr>
          <w:rFonts w:ascii="Times New Roman" w:hAnsi="Times New Roman" w:cs="Times New Roman"/>
          <w:sz w:val="24"/>
          <w:szCs w:val="24"/>
        </w:rPr>
        <w:t>), η προτεραιότητα σε εφαρμογές δημόσιας διοίκησης, υγείας, ενέργειας, μεταφορών, αγροτικής οικονομίας, η κυβερνο-ασφάλεια και τα οφέλη για τις μικρομεσαίες επιχειρήσεις, ανοίγοντας παράλληλα ζητήματα κανονιστικού πλαισίου για την ανάπτυξη και χρήση της ΤΝ (εσωτερική αγορά, προστασία καταναλωτών και προσωπικών δεδομένων, πνευματική ιδιοκτησία) σε εθνικό, ευρωπαϊκό και διεθνές επίπεδο, αλλά και δεοντολο</w:t>
      </w:r>
      <w:r w:rsidRPr="000077B1">
        <w:rPr>
          <w:rFonts w:ascii="Times New Roman" w:hAnsi="Times New Roman" w:cs="Times New Roman"/>
          <w:sz w:val="24"/>
          <w:szCs w:val="24"/>
        </w:rPr>
        <w:softHyphen/>
        <w:t xml:space="preserve">γικών κανόνων στη χρήση εφαρμογών ΤΝ (έμφαση στην ανθρωποκεντρική ΤΝ, </w:t>
      </w:r>
      <w:r w:rsidRPr="000077B1">
        <w:rPr>
          <w:rFonts w:ascii="Times New Roman" w:hAnsi="Times New Roman" w:cs="Times New Roman"/>
          <w:sz w:val="24"/>
          <w:szCs w:val="24"/>
          <w:lang w:val="en-US"/>
        </w:rPr>
        <w:t>ethics</w:t>
      </w:r>
      <w:r w:rsidRPr="000077B1">
        <w:rPr>
          <w:rFonts w:ascii="Times New Roman" w:hAnsi="Times New Roman" w:cs="Times New Roman"/>
          <w:sz w:val="24"/>
          <w:szCs w:val="24"/>
        </w:rPr>
        <w:t>-</w:t>
      </w:r>
      <w:r w:rsidRPr="000077B1">
        <w:rPr>
          <w:rFonts w:ascii="Times New Roman" w:hAnsi="Times New Roman" w:cs="Times New Roman"/>
          <w:sz w:val="24"/>
          <w:szCs w:val="24"/>
          <w:lang w:val="en-US"/>
        </w:rPr>
        <w:t>by</w:t>
      </w:r>
      <w:r w:rsidRPr="000077B1">
        <w:rPr>
          <w:rFonts w:ascii="Times New Roman" w:hAnsi="Times New Roman" w:cs="Times New Roman"/>
          <w:sz w:val="24"/>
          <w:szCs w:val="24"/>
        </w:rPr>
        <w:t>-</w:t>
      </w:r>
      <w:r w:rsidRPr="000077B1">
        <w:rPr>
          <w:rFonts w:ascii="Times New Roman" w:hAnsi="Times New Roman" w:cs="Times New Roman"/>
          <w:sz w:val="24"/>
          <w:szCs w:val="24"/>
          <w:lang w:val="en-US"/>
        </w:rPr>
        <w:t>design</w:t>
      </w:r>
      <w:r w:rsidRPr="000077B1">
        <w:rPr>
          <w:rFonts w:ascii="Times New Roman" w:hAnsi="Times New Roman" w:cs="Times New Roman"/>
          <w:sz w:val="24"/>
          <w:szCs w:val="24"/>
        </w:rPr>
        <w:t xml:space="preserve">, περιορισμός </w:t>
      </w:r>
      <w:r w:rsidRPr="000077B1">
        <w:rPr>
          <w:rFonts w:ascii="Times New Roman" w:hAnsi="Times New Roman" w:cs="Times New Roman"/>
          <w:sz w:val="24"/>
          <w:szCs w:val="24"/>
        </w:rPr>
        <w:lastRenderedPageBreak/>
        <w:t xml:space="preserve">της πρωτοβουλίας των εφαρμογών ΤΝ και των ρομπότ, διαφάνεια στα χρησιμοποιούμενα δεδομένα και τη συγγραφή των αλγορίθμων). </w:t>
      </w:r>
      <w:r>
        <w:rPr>
          <w:rFonts w:ascii="Times New Roman" w:hAnsi="Times New Roman" w:cs="Times New Roman"/>
          <w:sz w:val="24"/>
          <w:szCs w:val="24"/>
        </w:rPr>
        <w:t>Συναφές είναι και ο</w:t>
      </w:r>
      <w:r w:rsidRPr="000077B1">
        <w:rPr>
          <w:rFonts w:ascii="Times New Roman" w:hAnsi="Times New Roman" w:cs="Times New Roman"/>
          <w:sz w:val="24"/>
          <w:szCs w:val="24"/>
        </w:rPr>
        <w:t xml:space="preserve"> </w:t>
      </w:r>
      <w:hyperlink r:id="rId9" w:history="1">
        <w:r w:rsidRPr="000077B1">
          <w:rPr>
            <w:rStyle w:val="Hyperlink"/>
            <w:rFonts w:ascii="Times New Roman" w:hAnsi="Times New Roman" w:cs="Times New Roman"/>
            <w:sz w:val="24"/>
            <w:szCs w:val="24"/>
          </w:rPr>
          <w:t>Ευρωπαϊκό Δεοντολογικό Χάρτη</w:t>
        </w:r>
      </w:hyperlink>
      <w:r>
        <w:rPr>
          <w:rFonts w:ascii="Times New Roman" w:hAnsi="Times New Roman" w:cs="Times New Roman"/>
          <w:sz w:val="24"/>
          <w:szCs w:val="24"/>
        </w:rPr>
        <w:t xml:space="preserve"> που εκπόνησε το </w:t>
      </w:r>
      <w:r w:rsidRPr="000077B1">
        <w:rPr>
          <w:rFonts w:ascii="Times New Roman" w:hAnsi="Times New Roman" w:cs="Times New Roman"/>
          <w:sz w:val="24"/>
          <w:szCs w:val="24"/>
          <w:lang w:val="en-US"/>
        </w:rPr>
        <w:t>CEPEJ</w:t>
      </w:r>
      <w:r w:rsidRPr="000077B1">
        <w:rPr>
          <w:rFonts w:ascii="Times New Roman" w:hAnsi="Times New Roman" w:cs="Times New Roman"/>
          <w:sz w:val="24"/>
          <w:szCs w:val="24"/>
        </w:rPr>
        <w:t xml:space="preserve"> </w:t>
      </w:r>
      <w:r>
        <w:rPr>
          <w:rFonts w:ascii="Times New Roman" w:hAnsi="Times New Roman" w:cs="Times New Roman"/>
          <w:sz w:val="24"/>
          <w:szCs w:val="24"/>
        </w:rPr>
        <w:t>γ</w:t>
      </w:r>
      <w:r w:rsidRPr="000077B1">
        <w:rPr>
          <w:rFonts w:ascii="Times New Roman" w:hAnsi="Times New Roman" w:cs="Times New Roman"/>
          <w:sz w:val="24"/>
          <w:szCs w:val="24"/>
        </w:rPr>
        <w:t xml:space="preserve">ια τη χρήση ΤΝ </w:t>
      </w:r>
      <w:r w:rsidR="000C1538">
        <w:rPr>
          <w:rFonts w:ascii="Times New Roman" w:hAnsi="Times New Roman" w:cs="Times New Roman"/>
          <w:sz w:val="24"/>
          <w:szCs w:val="24"/>
        </w:rPr>
        <w:t xml:space="preserve">στην απονομή της Δικαιοσύνης. </w:t>
      </w:r>
      <w:r w:rsidRPr="000077B1">
        <w:rPr>
          <w:rFonts w:ascii="Times New Roman" w:hAnsi="Times New Roman" w:cs="Times New Roman"/>
          <w:sz w:val="24"/>
          <w:szCs w:val="24"/>
        </w:rPr>
        <w:t xml:space="preserve">Όσον αφορά τις εξελίξεις σε εθνικό επίπεδο, έγινε ιδιαίτερη μνεία στην υπό σχεδιασμό εφαρμογή της Εσθονίας </w:t>
      </w:r>
      <w:r w:rsidR="000C1538">
        <w:rPr>
          <w:rFonts w:ascii="Times New Roman" w:hAnsi="Times New Roman" w:cs="Times New Roman"/>
          <w:sz w:val="24"/>
          <w:szCs w:val="24"/>
        </w:rPr>
        <w:t xml:space="preserve">«Δικαστή-Ρομπότ» </w:t>
      </w:r>
      <w:r w:rsidRPr="000077B1">
        <w:rPr>
          <w:rFonts w:ascii="Times New Roman" w:hAnsi="Times New Roman" w:cs="Times New Roman"/>
          <w:sz w:val="24"/>
          <w:szCs w:val="24"/>
        </w:rPr>
        <w:t>(</w:t>
      </w:r>
      <w:hyperlink r:id="rId10" w:history="1">
        <w:r w:rsidRPr="000077B1">
          <w:rPr>
            <w:rStyle w:val="Hyperlink"/>
            <w:rFonts w:ascii="Times New Roman" w:hAnsi="Times New Roman" w:cs="Times New Roman"/>
            <w:sz w:val="24"/>
            <w:szCs w:val="24"/>
            <w:lang w:val="en-US"/>
          </w:rPr>
          <w:t>robot</w:t>
        </w:r>
        <w:r w:rsidRPr="000077B1">
          <w:rPr>
            <w:rStyle w:val="Hyperlink"/>
            <w:rFonts w:ascii="Times New Roman" w:hAnsi="Times New Roman" w:cs="Times New Roman"/>
            <w:sz w:val="24"/>
            <w:szCs w:val="24"/>
          </w:rPr>
          <w:t xml:space="preserve"> </w:t>
        </w:r>
        <w:r w:rsidRPr="000077B1">
          <w:rPr>
            <w:rStyle w:val="Hyperlink"/>
            <w:rFonts w:ascii="Times New Roman" w:hAnsi="Times New Roman" w:cs="Times New Roman"/>
            <w:sz w:val="24"/>
            <w:szCs w:val="24"/>
            <w:lang w:val="en-US"/>
          </w:rPr>
          <w:t>judge</w:t>
        </w:r>
      </w:hyperlink>
      <w:r w:rsidRPr="000077B1">
        <w:rPr>
          <w:rFonts w:ascii="Times New Roman" w:hAnsi="Times New Roman" w:cs="Times New Roman"/>
          <w:sz w:val="24"/>
          <w:szCs w:val="24"/>
        </w:rPr>
        <w:t xml:space="preserve">), </w:t>
      </w:r>
      <w:r w:rsidR="000C1538">
        <w:rPr>
          <w:rFonts w:ascii="Times New Roman" w:hAnsi="Times New Roman" w:cs="Times New Roman"/>
          <w:sz w:val="24"/>
          <w:szCs w:val="24"/>
        </w:rPr>
        <w:t xml:space="preserve"> </w:t>
      </w:r>
      <w:r w:rsidR="000C1538" w:rsidRPr="000077B1">
        <w:rPr>
          <w:rFonts w:ascii="Times New Roman" w:hAnsi="Times New Roman" w:cs="Times New Roman"/>
          <w:sz w:val="24"/>
          <w:szCs w:val="24"/>
        </w:rPr>
        <w:t>που φιλοδοξεί να αποσυμφορήσει τ</w:t>
      </w:r>
      <w:r w:rsidR="000C1538">
        <w:rPr>
          <w:rFonts w:ascii="Times New Roman" w:hAnsi="Times New Roman" w:cs="Times New Roman"/>
          <w:sz w:val="24"/>
          <w:szCs w:val="24"/>
        </w:rPr>
        <w:t>α δικαστήρια από μικροδιαφορές έως</w:t>
      </w:r>
      <w:r w:rsidR="000C1538" w:rsidRPr="000077B1">
        <w:rPr>
          <w:rFonts w:ascii="Times New Roman" w:hAnsi="Times New Roman" w:cs="Times New Roman"/>
          <w:sz w:val="24"/>
          <w:szCs w:val="24"/>
        </w:rPr>
        <w:t xml:space="preserve"> €7.000 </w:t>
      </w:r>
      <w:r w:rsidRPr="000077B1">
        <w:rPr>
          <w:rFonts w:ascii="Times New Roman" w:hAnsi="Times New Roman" w:cs="Times New Roman"/>
          <w:sz w:val="24"/>
          <w:szCs w:val="24"/>
        </w:rPr>
        <w:t>ενώ η ιταλική αντιπρο</w:t>
      </w:r>
      <w:r w:rsidRPr="000077B1">
        <w:rPr>
          <w:rFonts w:ascii="Times New Roman" w:hAnsi="Times New Roman" w:cs="Times New Roman"/>
          <w:sz w:val="24"/>
          <w:szCs w:val="24"/>
        </w:rPr>
        <w:softHyphen/>
        <w:t>σωπεία ανέφερε ότι στην Ιταλία προβλέπεται ήδη η δυνατότητα της διοίκησης να</w:t>
      </w:r>
      <w:r w:rsidR="000C1538">
        <w:rPr>
          <w:rFonts w:ascii="Times New Roman" w:hAnsi="Times New Roman" w:cs="Times New Roman"/>
          <w:sz w:val="24"/>
          <w:szCs w:val="24"/>
        </w:rPr>
        <w:t xml:space="preserve"> εκδίδει αποφάσεις απονομής</w:t>
      </w:r>
      <w:r w:rsidRPr="000077B1">
        <w:rPr>
          <w:rFonts w:ascii="Times New Roman" w:hAnsi="Times New Roman" w:cs="Times New Roman"/>
          <w:sz w:val="24"/>
          <w:szCs w:val="24"/>
        </w:rPr>
        <w:t xml:space="preserve"> σύνταξη</w:t>
      </w:r>
      <w:r w:rsidR="000C1538">
        <w:rPr>
          <w:rFonts w:ascii="Times New Roman" w:hAnsi="Times New Roman" w:cs="Times New Roman"/>
          <w:sz w:val="24"/>
          <w:szCs w:val="24"/>
        </w:rPr>
        <w:t>ς</w:t>
      </w:r>
      <w:r w:rsidRPr="000077B1">
        <w:rPr>
          <w:rFonts w:ascii="Times New Roman" w:hAnsi="Times New Roman" w:cs="Times New Roman"/>
          <w:sz w:val="24"/>
          <w:szCs w:val="24"/>
        </w:rPr>
        <w:t xml:space="preserve"> με τη χρήση ηλεκτρονικών εφαρμογών. </w:t>
      </w:r>
      <w:r w:rsidR="000C1538">
        <w:rPr>
          <w:rFonts w:ascii="Times New Roman" w:hAnsi="Times New Roman" w:cs="Times New Roman"/>
          <w:sz w:val="24"/>
          <w:szCs w:val="24"/>
        </w:rPr>
        <w:t>Στο σημείο πάντως αυτό αξίζει να σημειωθεί ότι ο εκπρόσωπος της Εσθονίας δήλωσε πως η προαναφερόμενη εφαρμογή δεν έχει ακόμη οριστικοποιηθεί και, συνεπώς, οι φόβοι που έχουν ήδη διατυπωθεί από τον θόρυβο που έχει σχετικώς δημιουργηθεί δεν είναι βάσιμοι.</w:t>
      </w:r>
    </w:p>
    <w:p w14:paraId="6EAB9E92" w14:textId="04F25023" w:rsidR="000077B1" w:rsidRPr="000077B1" w:rsidRDefault="000C1538" w:rsidP="000077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3.</w:t>
      </w:r>
      <w:r w:rsidR="000077B1" w:rsidRPr="000077B1">
        <w:rPr>
          <w:rFonts w:ascii="Times New Roman" w:hAnsi="Times New Roman" w:cs="Times New Roman"/>
          <w:sz w:val="24"/>
          <w:szCs w:val="24"/>
        </w:rPr>
        <w:t xml:space="preserve"> Ακολούθησε συζήτηση και σχόλια των παρισταμένων επί τ</w:t>
      </w:r>
      <w:r>
        <w:rPr>
          <w:rFonts w:ascii="Times New Roman" w:hAnsi="Times New Roman" w:cs="Times New Roman"/>
          <w:sz w:val="24"/>
          <w:szCs w:val="24"/>
        </w:rPr>
        <w:t>ου ενημερωτικού κειμένου που συντάσσεται από το</w:t>
      </w:r>
      <w:r w:rsidR="000077B1" w:rsidRPr="000077B1">
        <w:rPr>
          <w:rFonts w:ascii="Times New Roman" w:hAnsi="Times New Roman" w:cs="Times New Roman"/>
          <w:sz w:val="24"/>
          <w:szCs w:val="24"/>
        </w:rPr>
        <w:t xml:space="preserve"> </w:t>
      </w:r>
      <w:r w:rsidR="000077B1" w:rsidRPr="000077B1">
        <w:rPr>
          <w:rFonts w:ascii="Times New Roman" w:hAnsi="Times New Roman" w:cs="Times New Roman"/>
          <w:sz w:val="24"/>
          <w:szCs w:val="24"/>
          <w:lang w:val="en-US"/>
        </w:rPr>
        <w:t>CCBE</w:t>
      </w:r>
      <w:r w:rsidR="000077B1" w:rsidRPr="000077B1">
        <w:rPr>
          <w:rFonts w:ascii="Times New Roman" w:hAnsi="Times New Roman" w:cs="Times New Roman"/>
          <w:sz w:val="24"/>
          <w:szCs w:val="24"/>
        </w:rPr>
        <w:t xml:space="preserve"> για την ενημέρωση </w:t>
      </w:r>
      <w:r>
        <w:rPr>
          <w:rFonts w:ascii="Times New Roman" w:hAnsi="Times New Roman" w:cs="Times New Roman"/>
          <w:sz w:val="24"/>
          <w:szCs w:val="24"/>
        </w:rPr>
        <w:t xml:space="preserve">όλων </w:t>
      </w:r>
      <w:r w:rsidR="000077B1" w:rsidRPr="000077B1">
        <w:rPr>
          <w:rFonts w:ascii="Times New Roman" w:hAnsi="Times New Roman" w:cs="Times New Roman"/>
          <w:sz w:val="24"/>
          <w:szCs w:val="24"/>
        </w:rPr>
        <w:t xml:space="preserve">των εθνικών αντιπροσωπειών </w:t>
      </w:r>
      <w:r>
        <w:rPr>
          <w:rFonts w:ascii="Times New Roman" w:hAnsi="Times New Roman" w:cs="Times New Roman"/>
          <w:sz w:val="24"/>
          <w:szCs w:val="24"/>
        </w:rPr>
        <w:t>περί του τι είναι ΤΝ και καθώς και τη θέση του</w:t>
      </w:r>
      <w:r w:rsidR="000077B1" w:rsidRPr="000077B1">
        <w:rPr>
          <w:rFonts w:ascii="Times New Roman" w:hAnsi="Times New Roman" w:cs="Times New Roman"/>
          <w:sz w:val="24"/>
          <w:szCs w:val="24"/>
        </w:rPr>
        <w:t xml:space="preserve"> </w:t>
      </w:r>
      <w:r w:rsidR="000077B1" w:rsidRPr="000077B1">
        <w:rPr>
          <w:rFonts w:ascii="Times New Roman" w:hAnsi="Times New Roman" w:cs="Times New Roman"/>
          <w:sz w:val="24"/>
          <w:szCs w:val="24"/>
          <w:lang w:val="en-US"/>
        </w:rPr>
        <w:t>CCBE</w:t>
      </w:r>
      <w:r w:rsidR="000077B1" w:rsidRPr="000077B1">
        <w:rPr>
          <w:rFonts w:ascii="Times New Roman" w:hAnsi="Times New Roman" w:cs="Times New Roman"/>
          <w:sz w:val="24"/>
          <w:szCs w:val="24"/>
        </w:rPr>
        <w:t xml:space="preserve"> για την ΤΝ εν γένει. Το δεύτερο κείμενο περιλαμβάνει σχολιασμό της θέσης που έλαβε </w:t>
      </w:r>
      <w:r>
        <w:rPr>
          <w:rFonts w:ascii="Times New Roman" w:hAnsi="Times New Roman" w:cs="Times New Roman"/>
          <w:sz w:val="24"/>
          <w:szCs w:val="24"/>
        </w:rPr>
        <w:t xml:space="preserve">το </w:t>
      </w:r>
      <w:r w:rsidR="000077B1" w:rsidRPr="000077B1">
        <w:rPr>
          <w:rFonts w:ascii="Times New Roman" w:hAnsi="Times New Roman" w:cs="Times New Roman"/>
          <w:sz w:val="24"/>
          <w:szCs w:val="24"/>
          <w:lang w:val="en-US"/>
        </w:rPr>
        <w:t>CEPEJ</w:t>
      </w:r>
      <w:r>
        <w:rPr>
          <w:rFonts w:ascii="Times New Roman" w:hAnsi="Times New Roman" w:cs="Times New Roman"/>
          <w:sz w:val="24"/>
          <w:szCs w:val="24"/>
          <w:lang w:val="en-US"/>
        </w:rPr>
        <w:t xml:space="preserve"> για την ΤΝ</w:t>
      </w:r>
      <w:r w:rsidR="000077B1" w:rsidRPr="000077B1">
        <w:rPr>
          <w:rFonts w:ascii="Times New Roman" w:hAnsi="Times New Roman" w:cs="Times New Roman"/>
          <w:sz w:val="24"/>
          <w:szCs w:val="24"/>
        </w:rPr>
        <w:t>, τις δυνητικές χρήσεις ΤΝ καθ’ όλη τη διαδικασία απονομής δικαιοσύνης, τα χαρακτηριστικά του ισχύοντος συστήματος (έκδοση απόφασης μετά από διεξαγωγή δίκης, ανακριτικό/ συζητητικό σύστημα, αιτιολόγηση αποφάσεων), τις εξελίξεις που ήδη θεωρούνται δεδομένες χάρη στις νέες τεχνολογίες (νομικές βάσεις δεδομένων) και τις δυνητικές χρήσεις ΤΝ κατά την απονομή δικαιοσύνης, π.χ. αναζήτηση όχι απλά νομολογίας, αλλά συνδυαστική αναζήτηση και εξαγωγή πορισμάτων νομολογίας, δυνατότητα ανταπόκρισης σε ερωτήσεις σε φυσική γλώσσα, λογισμικό για την πρόβλεψη συμπεριφορών (πιθανότητα υποτροπής κλπ.), λογισμικό σύνταξης αποφάσεων</w:t>
      </w:r>
      <w:r>
        <w:rPr>
          <w:rFonts w:ascii="Times New Roman" w:hAnsi="Times New Roman" w:cs="Times New Roman"/>
          <w:sz w:val="24"/>
          <w:szCs w:val="24"/>
        </w:rPr>
        <w:t xml:space="preserve"> (βλ. σχετικώς και προηγούμενο </w:t>
      </w:r>
      <w:r>
        <w:rPr>
          <w:rFonts w:ascii="Times New Roman" w:hAnsi="Times New Roman" w:cs="Times New Roman"/>
          <w:sz w:val="24"/>
          <w:szCs w:val="24"/>
          <w:lang w:val="en-GB"/>
        </w:rPr>
        <w:t xml:space="preserve">report </w:t>
      </w:r>
      <w:r>
        <w:rPr>
          <w:rFonts w:ascii="Times New Roman" w:hAnsi="Times New Roman" w:cs="Times New Roman"/>
          <w:sz w:val="24"/>
          <w:szCs w:val="24"/>
        </w:rPr>
        <w:t>για τη συνεδρίαση της Επιτροπής στη Ρώμη)</w:t>
      </w:r>
      <w:r w:rsidR="000077B1" w:rsidRPr="000077B1">
        <w:rPr>
          <w:rFonts w:ascii="Times New Roman" w:hAnsi="Times New Roman" w:cs="Times New Roman"/>
          <w:sz w:val="24"/>
          <w:szCs w:val="24"/>
        </w:rPr>
        <w:t xml:space="preserve">. Επισημαίνεται με έμφαση ότι η συγγραφή κάθε αλγόριθμου προϋποθέτει συγκεκριμένες παραδοχές και ότι ένα σύστημα που σταχυολογεί αποφάσεις επιλεγμένες με λέξεις κλειδιά απέχει παρασάγγας από ένα «έξυπνο» πρόγραμμα που επιλέγει τις πιο σχετικές αποφάσεις, με αποτέλεσμα ο κώδικας με τον οποίο λειτουργεί κάθε τέτοια εφαρμογή τελικά να αποκτά χαρακτηριστικά κανονιστικού πλαισίου. Επίσης </w:t>
      </w:r>
      <w:r>
        <w:rPr>
          <w:rFonts w:ascii="Times New Roman" w:hAnsi="Times New Roman" w:cs="Times New Roman"/>
          <w:sz w:val="24"/>
          <w:szCs w:val="24"/>
        </w:rPr>
        <w:t xml:space="preserve">επισημάνθηκε ότι </w:t>
      </w:r>
      <w:r w:rsidR="000077B1" w:rsidRPr="000077B1">
        <w:rPr>
          <w:rFonts w:ascii="Times New Roman" w:hAnsi="Times New Roman" w:cs="Times New Roman"/>
          <w:sz w:val="24"/>
          <w:szCs w:val="24"/>
        </w:rPr>
        <w:t>ο σχεδιαστής του λογισμικού ή ο επαγγελματίας ΙΤ που συλλέγει τα δεδομένα δεν έχει τα εχέγγυα αμεροληψίας (που έχουν οι δικαστές) και η εργασία του και οι εγγενείς προδιαθέσεις/ προκαταλήψεις (</w:t>
      </w:r>
      <w:r w:rsidR="000077B1" w:rsidRPr="000077B1">
        <w:rPr>
          <w:rFonts w:ascii="Times New Roman" w:hAnsi="Times New Roman" w:cs="Times New Roman"/>
          <w:sz w:val="24"/>
          <w:szCs w:val="24"/>
          <w:lang w:val="en-US"/>
        </w:rPr>
        <w:t>bias</w:t>
      </w:r>
      <w:r w:rsidR="000077B1" w:rsidRPr="000077B1">
        <w:rPr>
          <w:rFonts w:ascii="Times New Roman" w:hAnsi="Times New Roman" w:cs="Times New Roman"/>
          <w:sz w:val="24"/>
          <w:szCs w:val="24"/>
        </w:rPr>
        <w:t xml:space="preserve">) δεν υπόκεινται σε </w:t>
      </w:r>
      <w:r w:rsidR="000077B1" w:rsidRPr="000077B1">
        <w:rPr>
          <w:rFonts w:ascii="Times New Roman" w:hAnsi="Times New Roman" w:cs="Times New Roman"/>
          <w:sz w:val="24"/>
          <w:szCs w:val="24"/>
        </w:rPr>
        <w:lastRenderedPageBreak/>
        <w:t>έλεγχο, σε αντίθεση με τυχόν προδιαθέσεις του δικαστή που μετριάζονται χάρη στη διαρκή εκπαίδευση, τη δεοντολογία και τον δικαστικό έλεγχο των αποφάσεων. Προβληματισμό επίσης προκαλούν τα έξυπνα συστήματα ΤΝ (</w:t>
      </w:r>
      <w:r w:rsidR="000077B1" w:rsidRPr="000077B1">
        <w:rPr>
          <w:rFonts w:ascii="Times New Roman" w:hAnsi="Times New Roman" w:cs="Times New Roman"/>
          <w:sz w:val="24"/>
          <w:szCs w:val="24"/>
          <w:lang w:val="en-US"/>
        </w:rPr>
        <w:t>machine</w:t>
      </w:r>
      <w:r w:rsidR="000077B1" w:rsidRPr="000077B1">
        <w:rPr>
          <w:rFonts w:ascii="Times New Roman" w:hAnsi="Times New Roman" w:cs="Times New Roman"/>
          <w:sz w:val="24"/>
          <w:szCs w:val="24"/>
        </w:rPr>
        <w:t xml:space="preserve"> </w:t>
      </w:r>
      <w:r w:rsidR="000077B1" w:rsidRPr="000077B1">
        <w:rPr>
          <w:rFonts w:ascii="Times New Roman" w:hAnsi="Times New Roman" w:cs="Times New Roman"/>
          <w:sz w:val="24"/>
          <w:szCs w:val="24"/>
          <w:lang w:val="en-US"/>
        </w:rPr>
        <w:t>learning</w:t>
      </w:r>
      <w:r w:rsidR="000077B1" w:rsidRPr="000077B1">
        <w:rPr>
          <w:rFonts w:ascii="Times New Roman" w:hAnsi="Times New Roman" w:cs="Times New Roman"/>
          <w:sz w:val="24"/>
          <w:szCs w:val="24"/>
        </w:rPr>
        <w:t>), αφού ο τρόπος με τον οποίο μαθαίνουν να συνδυάζουν δεδομένα παραμένει «μαύρο κουτί», τουλάχιστον για τους νομικούς. Χαρακτηριστική είναι η σύγκριση της ΤΝ με τους μάντεις (</w:t>
      </w:r>
      <w:r w:rsidR="000077B1" w:rsidRPr="000077B1">
        <w:rPr>
          <w:rFonts w:ascii="Times New Roman" w:hAnsi="Times New Roman" w:cs="Times New Roman"/>
          <w:sz w:val="24"/>
          <w:szCs w:val="24"/>
          <w:lang w:val="en-US"/>
        </w:rPr>
        <w:t>oracles</w:t>
      </w:r>
      <w:r w:rsidR="000077B1" w:rsidRPr="000077B1">
        <w:rPr>
          <w:rFonts w:ascii="Times New Roman" w:hAnsi="Times New Roman" w:cs="Times New Roman"/>
          <w:sz w:val="24"/>
          <w:szCs w:val="24"/>
        </w:rPr>
        <w:t>) που διατυπώνουν την «αλήθεια», αλλά δεν μπορούν να εξηγήσουν πώς οδηγήθηκαν σε αυτή. Επιμέρους ζητήματα είναι η δυνατότητα αντίκρουσης ισχυρισμών, η μετάθεση της δικαιοδοτικής ευθύνης από το δικαστή στην ΤΝ, έλλειψη διαφάνειας, αμεροληψίας και αιτιολογίας.</w:t>
      </w:r>
    </w:p>
    <w:p w14:paraId="5691B5A7" w14:textId="77777777" w:rsidR="000C1538" w:rsidRDefault="000C1538" w:rsidP="000077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077B1" w:rsidRPr="000077B1">
        <w:rPr>
          <w:rFonts w:ascii="Times New Roman" w:hAnsi="Times New Roman" w:cs="Times New Roman"/>
          <w:sz w:val="24"/>
          <w:szCs w:val="24"/>
        </w:rPr>
        <w:t xml:space="preserve">Τονίστηκε </w:t>
      </w:r>
      <w:r>
        <w:rPr>
          <w:rFonts w:ascii="Times New Roman" w:hAnsi="Times New Roman" w:cs="Times New Roman"/>
          <w:sz w:val="24"/>
          <w:szCs w:val="24"/>
        </w:rPr>
        <w:t xml:space="preserve">ακόμη </w:t>
      </w:r>
      <w:r w:rsidR="000077B1" w:rsidRPr="000077B1">
        <w:rPr>
          <w:rFonts w:ascii="Times New Roman" w:hAnsi="Times New Roman" w:cs="Times New Roman"/>
          <w:sz w:val="24"/>
          <w:szCs w:val="24"/>
        </w:rPr>
        <w:t xml:space="preserve">ότι η τεχνολογική ανάπτυξη καθιστά αναπόφευκτη την εισαγωγή εφαρμογών ΤΝ στο δικαστικό σύστημα, εξέλιξη που θα επηρεάσει αφενός το περιβάλλον εργασίας των δικηγόρων </w:t>
      </w:r>
      <w:r>
        <w:rPr>
          <w:rFonts w:ascii="Times New Roman" w:hAnsi="Times New Roman" w:cs="Times New Roman"/>
          <w:sz w:val="24"/>
          <w:szCs w:val="24"/>
        </w:rPr>
        <w:t xml:space="preserve">και, </w:t>
      </w:r>
      <w:r w:rsidR="000077B1" w:rsidRPr="000077B1">
        <w:rPr>
          <w:rFonts w:ascii="Times New Roman" w:hAnsi="Times New Roman" w:cs="Times New Roman"/>
          <w:sz w:val="24"/>
          <w:szCs w:val="24"/>
        </w:rPr>
        <w:t>αφετέρου</w:t>
      </w:r>
      <w:r>
        <w:rPr>
          <w:rFonts w:ascii="Times New Roman" w:hAnsi="Times New Roman" w:cs="Times New Roman"/>
          <w:sz w:val="24"/>
          <w:szCs w:val="24"/>
        </w:rPr>
        <w:t>,</w:t>
      </w:r>
      <w:r w:rsidR="000077B1" w:rsidRPr="000077B1">
        <w:rPr>
          <w:rFonts w:ascii="Times New Roman" w:hAnsi="Times New Roman" w:cs="Times New Roman"/>
          <w:sz w:val="24"/>
          <w:szCs w:val="24"/>
        </w:rPr>
        <w:t xml:space="preserve"> τα ποιοτικά χαρακτηριστικά του συστήματος απονομής δικαιοσύνης, θα πρέπει επομένως οι δικηγόροι να είναι ενημερωμένοι τόσο για τις ευκαιρίες όσο και για τις παγίδες της υπό διαμόρφωση πραγματικότητας. Είναι προφανές ότι χρειάζεται ευρύτατη ενημέρωση του κλάδου για τις εκφάνσεις και πιθανές εφαρμογές της ΤΝ στα νομικά επαγγέλματα, αν και προς το παρόν δεν υπάρχει στην Ευρώπη συγκεκριμένη</w:t>
      </w:r>
      <w:r>
        <w:rPr>
          <w:rFonts w:ascii="Times New Roman" w:hAnsi="Times New Roman" w:cs="Times New Roman"/>
          <w:sz w:val="24"/>
          <w:szCs w:val="24"/>
        </w:rPr>
        <w:t xml:space="preserve"> τεχνολογία ΤΝ που να αφορά τη Δ</w:t>
      </w:r>
      <w:r w:rsidR="000077B1" w:rsidRPr="000077B1">
        <w:rPr>
          <w:rFonts w:ascii="Times New Roman" w:hAnsi="Times New Roman" w:cs="Times New Roman"/>
          <w:sz w:val="24"/>
          <w:szCs w:val="24"/>
        </w:rPr>
        <w:t xml:space="preserve">ικαιοσύνη, επομένως δεν είναι σαφές υπό ποιους όρους θα λειτουργούν και ποιες προκλήσεις θέτουν. </w:t>
      </w:r>
    </w:p>
    <w:p w14:paraId="48EF3855" w14:textId="7FED11A0" w:rsidR="000077B1" w:rsidRPr="000077B1" w:rsidRDefault="000C1538" w:rsidP="000077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5. Τέθηκε περαιτέρω</w:t>
      </w:r>
      <w:r w:rsidR="000077B1" w:rsidRPr="000077B1">
        <w:rPr>
          <w:rFonts w:ascii="Times New Roman" w:hAnsi="Times New Roman" w:cs="Times New Roman"/>
          <w:sz w:val="24"/>
          <w:szCs w:val="24"/>
        </w:rPr>
        <w:t xml:space="preserve"> το ζήτημα των πιστοποιήσεων που αναπόφευκτα θα προκύψουν για τα συστήματα ΤΝ, οι οποίες είναι μεν απαραίτητες, αλλά δεν θα πρέπει επ’ ουδενί να συνεπάγονται περιορισμό του δικαιώματος αντίκρουσης και προσφυγής σε δικαστήριο για την ανατροπή του εξαγόμενου αποτελέσματος. Π</w:t>
      </w:r>
      <w:r>
        <w:rPr>
          <w:rFonts w:ascii="Times New Roman" w:hAnsi="Times New Roman" w:cs="Times New Roman"/>
          <w:sz w:val="24"/>
          <w:szCs w:val="24"/>
        </w:rPr>
        <w:t>άγια πεποίθηση του</w:t>
      </w:r>
      <w:r w:rsidR="000077B1" w:rsidRPr="000077B1">
        <w:rPr>
          <w:rFonts w:ascii="Times New Roman" w:hAnsi="Times New Roman" w:cs="Times New Roman"/>
          <w:sz w:val="24"/>
          <w:szCs w:val="24"/>
        </w:rPr>
        <w:t xml:space="preserve"> </w:t>
      </w:r>
      <w:r w:rsidR="000077B1" w:rsidRPr="000077B1">
        <w:rPr>
          <w:rFonts w:ascii="Times New Roman" w:hAnsi="Times New Roman" w:cs="Times New Roman"/>
          <w:sz w:val="24"/>
          <w:szCs w:val="24"/>
          <w:lang w:val="en-US"/>
        </w:rPr>
        <w:t>CCBE</w:t>
      </w:r>
      <w:r w:rsidR="000077B1" w:rsidRPr="000077B1">
        <w:rPr>
          <w:rFonts w:ascii="Times New Roman" w:hAnsi="Times New Roman" w:cs="Times New Roman"/>
          <w:sz w:val="24"/>
          <w:szCs w:val="24"/>
        </w:rPr>
        <w:t xml:space="preserve"> είναι ότι δεν νοείται δικαστική απόφαση χωρίς τον ανθρώπινο παράγοντα, χωρίς τη δυνατότητα ανασκευής της όποιας αυτοματοποιημένης διαδικασίας, χωρίς διαφάνεια και πρόσβαση σε όλα τα δεδομένα και τις τεχνολογικές παραμέτρους που διαμορφώνουν το αποτέλεσμα της δικανικής κρίσης. Είναι κρίσιμο, επίσης, να μην οδηγηθούμε σε ένα δίπολο (φθηνής, γρήγορης, ελλιπούς όμως ως προς την κατοχύρωση των </w:t>
      </w:r>
      <w:r>
        <w:rPr>
          <w:rFonts w:ascii="Times New Roman" w:hAnsi="Times New Roman" w:cs="Times New Roman"/>
          <w:sz w:val="24"/>
          <w:szCs w:val="24"/>
        </w:rPr>
        <w:t>δικαιωμάτων) αυτοματοποιημένης Δ</w:t>
      </w:r>
      <w:r w:rsidR="000077B1" w:rsidRPr="000077B1">
        <w:rPr>
          <w:rFonts w:ascii="Times New Roman" w:hAnsi="Times New Roman" w:cs="Times New Roman"/>
          <w:sz w:val="24"/>
          <w:szCs w:val="24"/>
        </w:rPr>
        <w:t xml:space="preserve">ικαιοσύνης για τους πολλούς και ενός συστήματος πολυτελείας με δικαστές για τους λίγους. </w:t>
      </w:r>
    </w:p>
    <w:p w14:paraId="1C50E0EF" w14:textId="605CACF5" w:rsidR="000077B1" w:rsidRPr="000077B1" w:rsidRDefault="000077B1" w:rsidP="000077B1">
      <w:pPr>
        <w:spacing w:after="240" w:line="360" w:lineRule="auto"/>
        <w:jc w:val="both"/>
        <w:rPr>
          <w:rFonts w:ascii="Times New Roman" w:hAnsi="Times New Roman" w:cs="Times New Roman"/>
          <w:sz w:val="24"/>
          <w:szCs w:val="24"/>
        </w:rPr>
      </w:pPr>
      <w:r w:rsidRPr="000077B1">
        <w:rPr>
          <w:rFonts w:ascii="Times New Roman" w:hAnsi="Times New Roman" w:cs="Times New Roman"/>
          <w:sz w:val="24"/>
          <w:szCs w:val="24"/>
        </w:rPr>
        <w:t xml:space="preserve">Σε κάθε περίπτωση τα μέλη της Επιτροπής συμφώνησαν ότι, όπως προκύπτει από τις μελέτες, κανένα εργαλείο ΤΝ δεν μπορεί να είναι αμερόληπτο, αφού κατά το </w:t>
      </w:r>
      <w:r w:rsidRPr="000077B1">
        <w:rPr>
          <w:rFonts w:ascii="Times New Roman" w:hAnsi="Times New Roman" w:cs="Times New Roman"/>
          <w:sz w:val="24"/>
          <w:szCs w:val="24"/>
        </w:rPr>
        <w:lastRenderedPageBreak/>
        <w:t>σχεδιασμό και τη σύνταξη του εκάστοτε κώδικα εμφιλοχωρούν κοινωνικές, στατιστικές και δικαιϊκές παραδοχές, ενώ</w:t>
      </w:r>
      <w:r w:rsidR="000C1538">
        <w:rPr>
          <w:rFonts w:ascii="Times New Roman" w:hAnsi="Times New Roman" w:cs="Times New Roman"/>
          <w:sz w:val="24"/>
          <w:szCs w:val="24"/>
        </w:rPr>
        <w:t>, όπως</w:t>
      </w:r>
      <w:r w:rsidRPr="000077B1">
        <w:rPr>
          <w:rFonts w:ascii="Times New Roman" w:hAnsi="Times New Roman" w:cs="Times New Roman"/>
          <w:sz w:val="24"/>
          <w:szCs w:val="24"/>
        </w:rPr>
        <w:t xml:space="preserve"> χαρακτηριστικά ο Πρόεδρος της Επιτροπής ανέφερε</w:t>
      </w:r>
      <w:r w:rsidR="000C1538">
        <w:rPr>
          <w:rFonts w:ascii="Times New Roman" w:hAnsi="Times New Roman" w:cs="Times New Roman"/>
          <w:sz w:val="24"/>
          <w:szCs w:val="24"/>
        </w:rPr>
        <w:t>, ακόμα και το βραβευμένο</w:t>
      </w:r>
      <w:r w:rsidRPr="000077B1">
        <w:rPr>
          <w:rFonts w:ascii="Times New Roman" w:hAnsi="Times New Roman" w:cs="Times New Roman"/>
          <w:sz w:val="24"/>
          <w:szCs w:val="24"/>
        </w:rPr>
        <w:t xml:space="preserve"> για την καινοτομία του πακέτο εφαρμογών </w:t>
      </w:r>
      <w:hyperlink r:id="rId11" w:history="1">
        <w:r w:rsidRPr="000077B1">
          <w:rPr>
            <w:rStyle w:val="Hyperlink"/>
            <w:rFonts w:ascii="Times New Roman" w:hAnsi="Times New Roman" w:cs="Times New Roman"/>
            <w:sz w:val="24"/>
            <w:szCs w:val="24"/>
            <w:lang w:val="en-US"/>
          </w:rPr>
          <w:t>LexisNexis</w:t>
        </w:r>
      </w:hyperlink>
      <w:r w:rsidRPr="000077B1">
        <w:rPr>
          <w:rFonts w:ascii="Times New Roman" w:hAnsi="Times New Roman" w:cs="Times New Roman"/>
          <w:sz w:val="24"/>
          <w:szCs w:val="24"/>
        </w:rPr>
        <w:t xml:space="preserve"> έχει διαπιστωθεί ότι παραβλέπει περίπου 60% των εκάστοτε σχετικών δεδομένων. </w:t>
      </w:r>
    </w:p>
    <w:p w14:paraId="4249B776" w14:textId="1676FD1C" w:rsidR="000077B1" w:rsidRPr="000077B1" w:rsidRDefault="000C1538" w:rsidP="000077B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6.</w:t>
      </w:r>
      <w:r w:rsidR="000077B1" w:rsidRPr="000077B1">
        <w:rPr>
          <w:rFonts w:ascii="Times New Roman" w:hAnsi="Times New Roman" w:cs="Times New Roman"/>
          <w:sz w:val="24"/>
          <w:szCs w:val="24"/>
        </w:rPr>
        <w:t xml:space="preserve"> Ιδιαίτερη αναφορά</w:t>
      </w:r>
      <w:r>
        <w:rPr>
          <w:rFonts w:ascii="Times New Roman" w:hAnsi="Times New Roman" w:cs="Times New Roman"/>
          <w:sz w:val="24"/>
          <w:szCs w:val="24"/>
        </w:rPr>
        <w:t>, τέλος,</w:t>
      </w:r>
      <w:r w:rsidR="000077B1" w:rsidRPr="000077B1">
        <w:rPr>
          <w:rFonts w:ascii="Times New Roman" w:hAnsi="Times New Roman" w:cs="Times New Roman"/>
          <w:sz w:val="24"/>
          <w:szCs w:val="24"/>
        </w:rPr>
        <w:t xml:space="preserve"> έγινε στη συμφωνία εξαγοράς της πλατφόρμας νομικών υπηρεσιών </w:t>
      </w:r>
      <w:hyperlink r:id="rId12" w:history="1">
        <w:r w:rsidR="000077B1" w:rsidRPr="000077B1">
          <w:rPr>
            <w:rStyle w:val="Hyperlink"/>
            <w:rFonts w:ascii="Times New Roman" w:hAnsi="Times New Roman" w:cs="Times New Roman"/>
            <w:sz w:val="24"/>
            <w:szCs w:val="24"/>
            <w:lang w:val="en-US"/>
          </w:rPr>
          <w:t>Pangea</w:t>
        </w:r>
        <w:r w:rsidR="000077B1" w:rsidRPr="000077B1">
          <w:rPr>
            <w:rStyle w:val="Hyperlink"/>
            <w:rFonts w:ascii="Times New Roman" w:hAnsi="Times New Roman" w:cs="Times New Roman"/>
            <w:sz w:val="24"/>
            <w:szCs w:val="24"/>
          </w:rPr>
          <w:t>3</w:t>
        </w:r>
      </w:hyperlink>
      <w:r w:rsidR="000077B1" w:rsidRPr="000077B1">
        <w:rPr>
          <w:rFonts w:ascii="Times New Roman" w:hAnsi="Times New Roman" w:cs="Times New Roman"/>
          <w:sz w:val="24"/>
          <w:szCs w:val="24"/>
        </w:rPr>
        <w:t xml:space="preserve"> (ιδιοκτησίας </w:t>
      </w:r>
      <w:r w:rsidR="000077B1" w:rsidRPr="000077B1">
        <w:rPr>
          <w:rFonts w:ascii="Times New Roman" w:hAnsi="Times New Roman" w:cs="Times New Roman"/>
          <w:sz w:val="24"/>
          <w:szCs w:val="24"/>
          <w:lang w:val="en-US"/>
        </w:rPr>
        <w:t>Thomson</w:t>
      </w:r>
      <w:r w:rsidR="000077B1" w:rsidRPr="000077B1">
        <w:rPr>
          <w:rFonts w:ascii="Times New Roman" w:hAnsi="Times New Roman" w:cs="Times New Roman"/>
          <w:sz w:val="24"/>
          <w:szCs w:val="24"/>
        </w:rPr>
        <w:t xml:space="preserve"> </w:t>
      </w:r>
      <w:r w:rsidR="000077B1" w:rsidRPr="000077B1">
        <w:rPr>
          <w:rFonts w:ascii="Times New Roman" w:hAnsi="Times New Roman" w:cs="Times New Roman"/>
          <w:sz w:val="24"/>
          <w:szCs w:val="24"/>
          <w:lang w:val="en-US"/>
        </w:rPr>
        <w:t>Reuters</w:t>
      </w:r>
      <w:r w:rsidR="000077B1" w:rsidRPr="000077B1">
        <w:rPr>
          <w:rFonts w:ascii="Times New Roman" w:hAnsi="Times New Roman" w:cs="Times New Roman"/>
          <w:sz w:val="24"/>
          <w:szCs w:val="24"/>
        </w:rPr>
        <w:t>) από την Ε</w:t>
      </w:r>
      <w:r w:rsidR="000077B1" w:rsidRPr="000077B1">
        <w:rPr>
          <w:rFonts w:ascii="Times New Roman" w:hAnsi="Times New Roman" w:cs="Times New Roman"/>
          <w:sz w:val="24"/>
          <w:szCs w:val="24"/>
          <w:lang w:val="en-US"/>
        </w:rPr>
        <w:t>rnst</w:t>
      </w:r>
      <w:r w:rsidR="000077B1" w:rsidRPr="000077B1">
        <w:rPr>
          <w:rFonts w:ascii="Times New Roman" w:hAnsi="Times New Roman" w:cs="Times New Roman"/>
          <w:sz w:val="24"/>
          <w:szCs w:val="24"/>
        </w:rPr>
        <w:t xml:space="preserve"> &amp; </w:t>
      </w:r>
      <w:r w:rsidR="000077B1" w:rsidRPr="000077B1">
        <w:rPr>
          <w:rFonts w:ascii="Times New Roman" w:hAnsi="Times New Roman" w:cs="Times New Roman"/>
          <w:sz w:val="24"/>
          <w:szCs w:val="24"/>
          <w:lang w:val="en-US"/>
        </w:rPr>
        <w:t>Young</w:t>
      </w:r>
      <w:r w:rsidR="000077B1" w:rsidRPr="000077B1">
        <w:rPr>
          <w:rFonts w:ascii="Times New Roman" w:hAnsi="Times New Roman" w:cs="Times New Roman"/>
          <w:sz w:val="24"/>
          <w:szCs w:val="24"/>
        </w:rPr>
        <w:t xml:space="preserve">, ως ενδεικτική του επερχόμενου ανταγωνισμού που θα δεχτούν τα παραδοσιακά νομικά επαγγέλματα από παρόχους συναφών υπηρεσιών. </w:t>
      </w:r>
    </w:p>
    <w:p w14:paraId="5F852E0D" w14:textId="77777777" w:rsidR="0048496D" w:rsidRPr="00441E59" w:rsidRDefault="0048496D" w:rsidP="0048496D">
      <w:pPr>
        <w:spacing w:after="0" w:line="360" w:lineRule="auto"/>
        <w:jc w:val="right"/>
        <w:rPr>
          <w:rFonts w:ascii="Times New Roman" w:hAnsi="Times New Roman" w:cs="Times New Roman"/>
          <w:b/>
          <w:sz w:val="24"/>
          <w:szCs w:val="24"/>
        </w:rPr>
      </w:pPr>
    </w:p>
    <w:p w14:paraId="13449346" w14:textId="77777777" w:rsidR="0048496D" w:rsidRPr="00441E59" w:rsidRDefault="0048496D" w:rsidP="0048496D">
      <w:pPr>
        <w:rPr>
          <w:rFonts w:ascii="Times New Roman" w:hAnsi="Times New Roman" w:cs="Times New Roman"/>
          <w:b/>
          <w:sz w:val="24"/>
          <w:szCs w:val="24"/>
        </w:rPr>
      </w:pPr>
      <w:r>
        <w:rPr>
          <w:rFonts w:ascii="Times New Roman" w:hAnsi="Times New Roman" w:cs="Times New Roman"/>
          <w:b/>
          <w:sz w:val="24"/>
          <w:szCs w:val="24"/>
        </w:rPr>
        <w:t xml:space="preserve">                                                                  </w:t>
      </w:r>
      <w:r w:rsidRPr="00441E59">
        <w:rPr>
          <w:rFonts w:ascii="Times New Roman" w:hAnsi="Times New Roman" w:cs="Times New Roman"/>
          <w:b/>
          <w:sz w:val="24"/>
          <w:szCs w:val="24"/>
        </w:rPr>
        <w:t>Για την Ελληνική Αντιπροσωπεία</w:t>
      </w:r>
    </w:p>
    <w:p w14:paraId="48D2A325" w14:textId="07D4C18E" w:rsidR="0048496D" w:rsidRPr="00441E59" w:rsidRDefault="0048496D" w:rsidP="0048496D">
      <w:pPr>
        <w:rPr>
          <w:rFonts w:ascii="Times New Roman" w:hAnsi="Times New Roman" w:cs="Times New Roman"/>
          <w:b/>
          <w:sz w:val="24"/>
          <w:szCs w:val="24"/>
        </w:rPr>
      </w:pPr>
      <w:r w:rsidRPr="00441E59">
        <w:rPr>
          <w:rFonts w:ascii="Times New Roman" w:hAnsi="Times New Roman" w:cs="Times New Roman"/>
          <w:b/>
          <w:sz w:val="24"/>
          <w:szCs w:val="24"/>
        </w:rPr>
        <w:t xml:space="preserve"> </w:t>
      </w:r>
      <w:r w:rsidR="00316C89">
        <w:rPr>
          <w:rFonts w:ascii="Times New Roman" w:hAnsi="Times New Roman" w:cs="Times New Roman"/>
          <w:b/>
          <w:sz w:val="24"/>
          <w:szCs w:val="24"/>
        </w:rPr>
        <w:t xml:space="preserve">                                                   </w:t>
      </w:r>
      <w:r>
        <w:rPr>
          <w:rFonts w:ascii="Times New Roman" w:hAnsi="Times New Roman" w:cs="Times New Roman"/>
          <w:b/>
          <w:sz w:val="24"/>
          <w:szCs w:val="24"/>
        </w:rPr>
        <w:t>Μαρία Σταματογιάννη</w:t>
      </w:r>
      <w:r w:rsidR="00316C89" w:rsidRPr="00316C89">
        <w:rPr>
          <w:rFonts w:ascii="Times New Roman" w:hAnsi="Times New Roman" w:cs="Times New Roman"/>
          <w:b/>
          <w:sz w:val="24"/>
          <w:szCs w:val="24"/>
        </w:rPr>
        <w:t xml:space="preserve"> </w:t>
      </w:r>
      <w:r w:rsidR="00316C89">
        <w:rPr>
          <w:rFonts w:ascii="Times New Roman" w:hAnsi="Times New Roman" w:cs="Times New Roman"/>
          <w:b/>
          <w:sz w:val="24"/>
          <w:szCs w:val="24"/>
        </w:rPr>
        <w:t xml:space="preserve">- </w:t>
      </w:r>
      <w:r w:rsidR="00316C89" w:rsidRPr="00441E59">
        <w:rPr>
          <w:rFonts w:ascii="Times New Roman" w:hAnsi="Times New Roman" w:cs="Times New Roman"/>
          <w:b/>
          <w:sz w:val="24"/>
          <w:szCs w:val="24"/>
        </w:rPr>
        <w:t>Παναγιώτης Περάκης</w:t>
      </w:r>
    </w:p>
    <w:p w14:paraId="53C99D8E" w14:textId="77777777" w:rsidR="0048496D" w:rsidRPr="00441E59" w:rsidRDefault="0048496D" w:rsidP="0048496D">
      <w:pPr>
        <w:rPr>
          <w:rFonts w:ascii="Times New Roman" w:hAnsi="Times New Roman" w:cs="Times New Roman"/>
          <w:b/>
          <w:sz w:val="24"/>
          <w:szCs w:val="24"/>
        </w:rPr>
      </w:pPr>
    </w:p>
    <w:p w14:paraId="78AE25A0" w14:textId="77777777" w:rsidR="0048496D" w:rsidRPr="00441E59" w:rsidRDefault="0048496D" w:rsidP="0048496D">
      <w:pPr>
        <w:rPr>
          <w:rFonts w:ascii="Times New Roman" w:hAnsi="Times New Roman" w:cs="Times New Roman"/>
          <w:b/>
          <w:sz w:val="24"/>
          <w:szCs w:val="24"/>
        </w:rPr>
      </w:pPr>
    </w:p>
    <w:p w14:paraId="4BE6718C" w14:textId="77777777" w:rsidR="0048496D" w:rsidRPr="00441E59" w:rsidRDefault="0048496D" w:rsidP="0048496D">
      <w:pPr>
        <w:rPr>
          <w:rFonts w:ascii="Times New Roman" w:hAnsi="Times New Roman" w:cs="Times New Roman"/>
          <w:b/>
          <w:sz w:val="24"/>
          <w:szCs w:val="24"/>
        </w:rPr>
      </w:pPr>
    </w:p>
    <w:p w14:paraId="629EDC9A" w14:textId="77777777" w:rsidR="0048496D" w:rsidRPr="00441E59" w:rsidRDefault="0048496D" w:rsidP="0048496D">
      <w:pPr>
        <w:rPr>
          <w:rFonts w:ascii="Times New Roman" w:hAnsi="Times New Roman" w:cs="Times New Roman"/>
          <w:sz w:val="24"/>
          <w:szCs w:val="24"/>
        </w:rPr>
      </w:pPr>
    </w:p>
    <w:p w14:paraId="0381EA7F" w14:textId="77777777" w:rsidR="0048496D" w:rsidRPr="009C2270" w:rsidRDefault="0048496D" w:rsidP="0048496D">
      <w:pPr>
        <w:spacing w:after="240" w:line="360" w:lineRule="auto"/>
        <w:jc w:val="right"/>
        <w:rPr>
          <w:rFonts w:ascii="Verdana" w:hAnsi="Verdana"/>
          <w:b/>
        </w:rPr>
      </w:pPr>
      <w:r>
        <w:rPr>
          <w:rFonts w:ascii="Verdana" w:hAnsi="Verdana"/>
          <w:b/>
        </w:rPr>
        <w:tab/>
      </w:r>
    </w:p>
    <w:sectPr w:rsidR="0048496D" w:rsidRPr="009C2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35A2B"/>
    <w:multiLevelType w:val="hybridMultilevel"/>
    <w:tmpl w:val="D2CED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C539E4"/>
    <w:multiLevelType w:val="hybridMultilevel"/>
    <w:tmpl w:val="63701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8C44A9"/>
    <w:multiLevelType w:val="hybridMultilevel"/>
    <w:tmpl w:val="84900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340FA9"/>
    <w:multiLevelType w:val="hybridMultilevel"/>
    <w:tmpl w:val="F98A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43"/>
    <w:rsid w:val="000024A1"/>
    <w:rsid w:val="00005DCA"/>
    <w:rsid w:val="000077B1"/>
    <w:rsid w:val="00011B58"/>
    <w:rsid w:val="000126CF"/>
    <w:rsid w:val="00012DB8"/>
    <w:rsid w:val="000346D7"/>
    <w:rsid w:val="00035696"/>
    <w:rsid w:val="000616AB"/>
    <w:rsid w:val="00095594"/>
    <w:rsid w:val="000A23E9"/>
    <w:rsid w:val="000C1538"/>
    <w:rsid w:val="000C529C"/>
    <w:rsid w:val="000D582F"/>
    <w:rsid w:val="000E1629"/>
    <w:rsid w:val="001118D4"/>
    <w:rsid w:val="00114238"/>
    <w:rsid w:val="00124A5C"/>
    <w:rsid w:val="00130F67"/>
    <w:rsid w:val="0014416B"/>
    <w:rsid w:val="00146C8E"/>
    <w:rsid w:val="001907DC"/>
    <w:rsid w:val="00194FE1"/>
    <w:rsid w:val="001C2068"/>
    <w:rsid w:val="001D559A"/>
    <w:rsid w:val="001F179B"/>
    <w:rsid w:val="001F7EFB"/>
    <w:rsid w:val="00201D04"/>
    <w:rsid w:val="00226542"/>
    <w:rsid w:val="00246A0B"/>
    <w:rsid w:val="00246A9C"/>
    <w:rsid w:val="0025337E"/>
    <w:rsid w:val="002542BE"/>
    <w:rsid w:val="00256639"/>
    <w:rsid w:val="00260035"/>
    <w:rsid w:val="00283B0E"/>
    <w:rsid w:val="0029020A"/>
    <w:rsid w:val="002A553D"/>
    <w:rsid w:val="002B12C5"/>
    <w:rsid w:val="002B5FCA"/>
    <w:rsid w:val="002C6E50"/>
    <w:rsid w:val="002F1DCA"/>
    <w:rsid w:val="00316C89"/>
    <w:rsid w:val="003246B5"/>
    <w:rsid w:val="00327B3F"/>
    <w:rsid w:val="00331B62"/>
    <w:rsid w:val="00341285"/>
    <w:rsid w:val="00353C5C"/>
    <w:rsid w:val="003646FF"/>
    <w:rsid w:val="0037161E"/>
    <w:rsid w:val="00374703"/>
    <w:rsid w:val="00380BBF"/>
    <w:rsid w:val="00380EDD"/>
    <w:rsid w:val="003A6443"/>
    <w:rsid w:val="003A6EDD"/>
    <w:rsid w:val="003E71E5"/>
    <w:rsid w:val="003F5FD4"/>
    <w:rsid w:val="00400EED"/>
    <w:rsid w:val="00400F68"/>
    <w:rsid w:val="0042784F"/>
    <w:rsid w:val="00435B9C"/>
    <w:rsid w:val="004368CC"/>
    <w:rsid w:val="004828EF"/>
    <w:rsid w:val="004842CE"/>
    <w:rsid w:val="0048496D"/>
    <w:rsid w:val="004917B4"/>
    <w:rsid w:val="004942E0"/>
    <w:rsid w:val="004D365C"/>
    <w:rsid w:val="004E2BD8"/>
    <w:rsid w:val="004F17BC"/>
    <w:rsid w:val="004F614D"/>
    <w:rsid w:val="0050142C"/>
    <w:rsid w:val="00516BFF"/>
    <w:rsid w:val="005315A2"/>
    <w:rsid w:val="00535B1C"/>
    <w:rsid w:val="00563D1D"/>
    <w:rsid w:val="00573609"/>
    <w:rsid w:val="0057439C"/>
    <w:rsid w:val="005911E8"/>
    <w:rsid w:val="005B330C"/>
    <w:rsid w:val="005C3087"/>
    <w:rsid w:val="005F69E5"/>
    <w:rsid w:val="005F70F3"/>
    <w:rsid w:val="005F7978"/>
    <w:rsid w:val="00605326"/>
    <w:rsid w:val="006108DA"/>
    <w:rsid w:val="006305D9"/>
    <w:rsid w:val="006352D2"/>
    <w:rsid w:val="0064031F"/>
    <w:rsid w:val="00653FCE"/>
    <w:rsid w:val="0066335D"/>
    <w:rsid w:val="00664901"/>
    <w:rsid w:val="00680E84"/>
    <w:rsid w:val="00682914"/>
    <w:rsid w:val="006A16E4"/>
    <w:rsid w:val="006C0E1F"/>
    <w:rsid w:val="006C6B26"/>
    <w:rsid w:val="006F053D"/>
    <w:rsid w:val="006F7CD6"/>
    <w:rsid w:val="0070398E"/>
    <w:rsid w:val="0071326C"/>
    <w:rsid w:val="00716625"/>
    <w:rsid w:val="007272B0"/>
    <w:rsid w:val="00742C7A"/>
    <w:rsid w:val="007512A7"/>
    <w:rsid w:val="00755DD8"/>
    <w:rsid w:val="0075690C"/>
    <w:rsid w:val="0076246D"/>
    <w:rsid w:val="007705FB"/>
    <w:rsid w:val="007706B5"/>
    <w:rsid w:val="00771433"/>
    <w:rsid w:val="00784F78"/>
    <w:rsid w:val="007850E0"/>
    <w:rsid w:val="00791820"/>
    <w:rsid w:val="007A5AA3"/>
    <w:rsid w:val="007B5A58"/>
    <w:rsid w:val="007D0C7E"/>
    <w:rsid w:val="007D7103"/>
    <w:rsid w:val="007E56EA"/>
    <w:rsid w:val="007F3CF7"/>
    <w:rsid w:val="00812A60"/>
    <w:rsid w:val="008146A5"/>
    <w:rsid w:val="008364DC"/>
    <w:rsid w:val="00850405"/>
    <w:rsid w:val="00862910"/>
    <w:rsid w:val="00871B8E"/>
    <w:rsid w:val="00897636"/>
    <w:rsid w:val="008A0875"/>
    <w:rsid w:val="008A6535"/>
    <w:rsid w:val="008B19A8"/>
    <w:rsid w:val="008C0977"/>
    <w:rsid w:val="008D0668"/>
    <w:rsid w:val="008E14C6"/>
    <w:rsid w:val="008F2AED"/>
    <w:rsid w:val="008F6430"/>
    <w:rsid w:val="008F6A3E"/>
    <w:rsid w:val="00914D46"/>
    <w:rsid w:val="00935758"/>
    <w:rsid w:val="00935A7E"/>
    <w:rsid w:val="00954519"/>
    <w:rsid w:val="00961740"/>
    <w:rsid w:val="009634BF"/>
    <w:rsid w:val="009639AB"/>
    <w:rsid w:val="00967819"/>
    <w:rsid w:val="0097072D"/>
    <w:rsid w:val="00975DBD"/>
    <w:rsid w:val="00980E83"/>
    <w:rsid w:val="00990911"/>
    <w:rsid w:val="0099753E"/>
    <w:rsid w:val="009A5521"/>
    <w:rsid w:val="009B356B"/>
    <w:rsid w:val="009B49E2"/>
    <w:rsid w:val="009C2270"/>
    <w:rsid w:val="009C5AF0"/>
    <w:rsid w:val="009D01CF"/>
    <w:rsid w:val="009D2D09"/>
    <w:rsid w:val="009D2FC8"/>
    <w:rsid w:val="009F6BEF"/>
    <w:rsid w:val="00A16B0B"/>
    <w:rsid w:val="00A20088"/>
    <w:rsid w:val="00A41910"/>
    <w:rsid w:val="00A64938"/>
    <w:rsid w:val="00A65C9B"/>
    <w:rsid w:val="00A731C7"/>
    <w:rsid w:val="00A8202C"/>
    <w:rsid w:val="00A847C6"/>
    <w:rsid w:val="00AA0D25"/>
    <w:rsid w:val="00AA46C5"/>
    <w:rsid w:val="00AB1A14"/>
    <w:rsid w:val="00AD0E32"/>
    <w:rsid w:val="00AE05E3"/>
    <w:rsid w:val="00AE5EFF"/>
    <w:rsid w:val="00AE7DF4"/>
    <w:rsid w:val="00AF67CF"/>
    <w:rsid w:val="00B079C3"/>
    <w:rsid w:val="00B10D30"/>
    <w:rsid w:val="00B2367E"/>
    <w:rsid w:val="00B4242D"/>
    <w:rsid w:val="00B43851"/>
    <w:rsid w:val="00B47D29"/>
    <w:rsid w:val="00B50B5F"/>
    <w:rsid w:val="00B55BB7"/>
    <w:rsid w:val="00B67C13"/>
    <w:rsid w:val="00B71143"/>
    <w:rsid w:val="00B81614"/>
    <w:rsid w:val="00B84EA6"/>
    <w:rsid w:val="00B8790A"/>
    <w:rsid w:val="00B97345"/>
    <w:rsid w:val="00BA3234"/>
    <w:rsid w:val="00BB228B"/>
    <w:rsid w:val="00BB410A"/>
    <w:rsid w:val="00BC2CBE"/>
    <w:rsid w:val="00C25561"/>
    <w:rsid w:val="00C715E5"/>
    <w:rsid w:val="00C8507B"/>
    <w:rsid w:val="00CB4FF8"/>
    <w:rsid w:val="00CD27BC"/>
    <w:rsid w:val="00CD3E33"/>
    <w:rsid w:val="00CE1E2D"/>
    <w:rsid w:val="00CE2F2F"/>
    <w:rsid w:val="00CE5F99"/>
    <w:rsid w:val="00CF4AFF"/>
    <w:rsid w:val="00CF68A4"/>
    <w:rsid w:val="00D00FB5"/>
    <w:rsid w:val="00D03ED1"/>
    <w:rsid w:val="00D1738A"/>
    <w:rsid w:val="00D330EE"/>
    <w:rsid w:val="00D44CE9"/>
    <w:rsid w:val="00D52BF1"/>
    <w:rsid w:val="00D53190"/>
    <w:rsid w:val="00D57721"/>
    <w:rsid w:val="00D872A6"/>
    <w:rsid w:val="00D87AAD"/>
    <w:rsid w:val="00DA7159"/>
    <w:rsid w:val="00DC19EC"/>
    <w:rsid w:val="00DD2D6B"/>
    <w:rsid w:val="00DD3AC8"/>
    <w:rsid w:val="00DE6D1C"/>
    <w:rsid w:val="00E20F73"/>
    <w:rsid w:val="00E45713"/>
    <w:rsid w:val="00E5039B"/>
    <w:rsid w:val="00E6357D"/>
    <w:rsid w:val="00E74297"/>
    <w:rsid w:val="00E75746"/>
    <w:rsid w:val="00E77035"/>
    <w:rsid w:val="00E846DA"/>
    <w:rsid w:val="00EB29B5"/>
    <w:rsid w:val="00ED7CF1"/>
    <w:rsid w:val="00EE3ADC"/>
    <w:rsid w:val="00F06949"/>
    <w:rsid w:val="00F26774"/>
    <w:rsid w:val="00F459EC"/>
    <w:rsid w:val="00F72A61"/>
    <w:rsid w:val="00F73085"/>
    <w:rsid w:val="00F74448"/>
    <w:rsid w:val="00FA46A3"/>
    <w:rsid w:val="00FA5C10"/>
    <w:rsid w:val="00FB3C6D"/>
    <w:rsid w:val="00FC0023"/>
    <w:rsid w:val="00FD0198"/>
    <w:rsid w:val="00FD2148"/>
    <w:rsid w:val="00FD6049"/>
    <w:rsid w:val="00FD7600"/>
    <w:rsid w:val="00FF4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697"/>
  <w15:chartTrackingRefBased/>
  <w15:docId w15:val="{34D5996D-D60F-430C-B7B8-1F44359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6D"/>
    <w:pPr>
      <w:ind w:left="720"/>
      <w:contextualSpacing/>
    </w:pPr>
  </w:style>
  <w:style w:type="character" w:styleId="Hyperlink">
    <w:name w:val="Hyperlink"/>
    <w:basedOn w:val="DefaultParagraphFont"/>
    <w:uiPriority w:val="99"/>
    <w:unhideWhenUsed/>
    <w:rsid w:val="009A5521"/>
    <w:rPr>
      <w:color w:val="0563C1" w:themeColor="hyperlink"/>
      <w:u w:val="single"/>
    </w:rPr>
  </w:style>
  <w:style w:type="character" w:customStyle="1" w:styleId="UnresolvedMention">
    <w:name w:val="Unresolved Mention"/>
    <w:basedOn w:val="DefaultParagraphFont"/>
    <w:uiPriority w:val="99"/>
    <w:semiHidden/>
    <w:unhideWhenUsed/>
    <w:rsid w:val="009A5521"/>
    <w:rPr>
      <w:color w:val="605E5C"/>
      <w:shd w:val="clear" w:color="auto" w:fill="E1DFDD"/>
    </w:rPr>
  </w:style>
  <w:style w:type="character" w:styleId="FollowedHyperlink">
    <w:name w:val="FollowedHyperlink"/>
    <w:basedOn w:val="DefaultParagraphFont"/>
    <w:uiPriority w:val="99"/>
    <w:semiHidden/>
    <w:unhideWhenUsed/>
    <w:rsid w:val="00A65C9B"/>
    <w:rPr>
      <w:color w:val="954F72" w:themeColor="followedHyperlink"/>
      <w:u w:val="single"/>
    </w:rPr>
  </w:style>
  <w:style w:type="table" w:styleId="TableGrid">
    <w:name w:val="Table Grid"/>
    <w:basedOn w:val="TableNormal"/>
    <w:uiPriority w:val="39"/>
    <w:rsid w:val="00A64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xisnexis.com/en-us/home.page" TargetMode="External"/><Relationship Id="rId12" Type="http://schemas.openxmlformats.org/officeDocument/2006/relationships/hyperlink" Target="https://store.legal.thomsonreuters.com/law-products/solutions/legal-outsourcing-services/Pangea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C:\Users\m.stamatogianni\Dropbox\Private\&#916;&#953;&#954;&#951;&#947;&#959;&#961;&#953;&#954;&#972;&#962;%20&#931;&#973;&#955;&#955;&#959;&#947;&#959;&#962;%20&#928;&#949;&#953;&#961;&#945;&#953;&#940;\CCBE\Future%20Rome%2028%2003%202019.docx" TargetMode="External"/><Relationship Id="rId6" Type="http://schemas.openxmlformats.org/officeDocument/2006/relationships/hyperlink" Target="C://Users/m.stamatogianni/Downloads/AIEthicsGuidelinespdf.pdf" TargetMode="External"/><Relationship Id="rId7" Type="http://schemas.openxmlformats.org/officeDocument/2006/relationships/hyperlink" Target="https://www.ccbe.eu/fileadmin/speciality_distribution/restricted/documents/Committees_-_Working_Groups/2019/Future/20190516_Future/3a2-CommunicationBuildingTrustinHuman-CentricArtificialIntelligence.pdf" TargetMode="External"/><Relationship Id="rId8" Type="http://schemas.openxmlformats.org/officeDocument/2006/relationships/hyperlink" Target="https://www.ccbe.eu/fileadmin/speciality_distribution/restricted/documents/Committees_-_Working_Groups/2019/Future/20190516_Future/3a3_EN-EP-resolution-of-12-February-2019-A-comprehensive-European-industrial-policy-on-artificial-intelligence-and-robotics.pdf" TargetMode="External"/><Relationship Id="rId9" Type="http://schemas.openxmlformats.org/officeDocument/2006/relationships/hyperlink" Target="https://www.ccbe.eu/fileadmin/speciality_distribution/restricted/documents/Committees_-_Working_Groups/2019/Future/20190516_Future/3a5-EN-Ethical-charter-for-publication-4-December-2018-docx.pdf" TargetMode="External"/><Relationship Id="rId10" Type="http://schemas.openxmlformats.org/officeDocument/2006/relationships/hyperlink" Target="https://www.wired.com/story/can-ai-be-fair-judge-court-estonia-think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1387</Words>
  <Characters>7908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Panagiotis Perakis</cp:lastModifiedBy>
  <cp:revision>4</cp:revision>
  <dcterms:created xsi:type="dcterms:W3CDTF">2019-06-18T12:46:00Z</dcterms:created>
  <dcterms:modified xsi:type="dcterms:W3CDTF">2019-06-18T13:07:00Z</dcterms:modified>
</cp:coreProperties>
</file>