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66D" w:rsidRPr="00641181" w:rsidRDefault="0083166D" w:rsidP="0083166D">
      <w:pPr>
        <w:spacing w:line="276" w:lineRule="auto"/>
        <w:jc w:val="center"/>
        <w:rPr>
          <w:rFonts w:ascii="Calibri" w:hAnsi="Calibri"/>
          <w:b/>
        </w:rPr>
      </w:pPr>
      <w:r w:rsidRPr="00AB2532">
        <w:rPr>
          <w:rFonts w:ascii="Calibri" w:hAnsi="Calibri"/>
          <w:b/>
        </w:rPr>
        <w:t xml:space="preserve">ΕΝΑΡΞΗ </w:t>
      </w:r>
      <w:r>
        <w:rPr>
          <w:rFonts w:ascii="Calibri" w:hAnsi="Calibri"/>
          <w:b/>
        </w:rPr>
        <w:t xml:space="preserve">ΝΕΟΥ ΚΥΚΛΟΥ </w:t>
      </w:r>
      <w:r w:rsidRPr="00AB2532">
        <w:rPr>
          <w:rFonts w:ascii="Calibri" w:hAnsi="Calibri"/>
          <w:b/>
        </w:rPr>
        <w:t xml:space="preserve">ΠΡΟΓΡΑΜΜΑΤΟΣ </w:t>
      </w:r>
      <w:r>
        <w:rPr>
          <w:rFonts w:ascii="Calibri" w:hAnsi="Calibri"/>
          <w:b/>
        </w:rPr>
        <w:t xml:space="preserve">ΕΞ ΑΠΟΣΤΑΣΕΩΣ </w:t>
      </w:r>
      <w:r w:rsidRPr="00AB2532">
        <w:rPr>
          <w:rFonts w:ascii="Calibri" w:hAnsi="Calibri"/>
          <w:b/>
        </w:rPr>
        <w:t xml:space="preserve">ΕΚΠΑΙΔΕΥΣΗΣ </w:t>
      </w:r>
      <w:r>
        <w:rPr>
          <w:rFonts w:ascii="Calibri" w:hAnsi="Calibri"/>
          <w:b/>
        </w:rPr>
        <w:t>ΓΙΑ ΤΗΝ 4</w:t>
      </w:r>
      <w:r w:rsidRPr="003C704E">
        <w:rPr>
          <w:rFonts w:ascii="Calibri" w:hAnsi="Calibri"/>
          <w:b/>
          <w:vertAlign w:val="superscript"/>
        </w:rPr>
        <w:t>Η</w:t>
      </w:r>
      <w:r>
        <w:rPr>
          <w:rFonts w:ascii="Calibri" w:hAnsi="Calibri"/>
          <w:b/>
        </w:rPr>
        <w:t xml:space="preserve"> ΕΥΡΩΠΑΪΚΗ ΟΔΗΓΙΑ ΚΑΤΑ ΤΟΥ ΞΕΠΛΥΜΑΤΟΣ ΒΡΩΜΙΚΟΥ ΧΡΗΜΑΤΟΣ ΚΑΙ ΤΗΣ ΧΡΗΜΑΤΟΔΟΤΗΣΗΣ ΤΗΣ ΤΡΟΜΟΚΡΑΤΙΑΣ</w:t>
      </w:r>
    </w:p>
    <w:p w:rsidR="0083166D" w:rsidRDefault="0083166D" w:rsidP="0083166D">
      <w:pPr>
        <w:spacing w:line="276" w:lineRule="auto"/>
        <w:jc w:val="both"/>
        <w:rPr>
          <w:rFonts w:ascii="Calibri" w:hAnsi="Calibri"/>
        </w:rPr>
      </w:pPr>
    </w:p>
    <w:p w:rsidR="0083166D" w:rsidRPr="00EB1F10" w:rsidRDefault="0083166D" w:rsidP="0083166D">
      <w:p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Τ</w:t>
      </w:r>
      <w:r w:rsidRPr="00C541DA">
        <w:rPr>
          <w:rFonts w:ascii="Calibri" w:hAnsi="Calibri"/>
        </w:rPr>
        <w:t xml:space="preserve">ο </w:t>
      </w:r>
      <w:r w:rsidRPr="00C541DA">
        <w:rPr>
          <w:rFonts w:ascii="Calibri" w:hAnsi="Calibri"/>
          <w:b/>
        </w:rPr>
        <w:t>Κέντρο Μελετών και Εκπαίδευσης Χρηματοοικονομικής (ΚΕΜΕΧ)</w:t>
      </w:r>
      <w:r w:rsidRPr="00C541DA">
        <w:rPr>
          <w:rFonts w:ascii="Calibri" w:hAnsi="Calibri"/>
        </w:rPr>
        <w:t xml:space="preserve"> και το </w:t>
      </w:r>
      <w:r w:rsidRPr="00C541DA">
        <w:rPr>
          <w:rFonts w:ascii="Calibri" w:hAnsi="Calibri"/>
          <w:b/>
        </w:rPr>
        <w:t>Εργαστήριο Επενδυτικών Εφαρμογών (ΕΠΕΦΑ)</w:t>
      </w:r>
      <w:r w:rsidRPr="00C541DA">
        <w:rPr>
          <w:rFonts w:ascii="Calibri" w:hAnsi="Calibri"/>
        </w:rPr>
        <w:t xml:space="preserve"> του </w:t>
      </w:r>
      <w:r w:rsidRPr="00C541DA">
        <w:rPr>
          <w:rFonts w:ascii="Calibri" w:hAnsi="Calibri"/>
          <w:b/>
        </w:rPr>
        <w:t>Τμήματος Οικονομικών Επιστημών</w:t>
      </w:r>
      <w:r w:rsidRPr="00C541DA">
        <w:rPr>
          <w:rFonts w:ascii="Calibri" w:hAnsi="Calibri"/>
        </w:rPr>
        <w:t xml:space="preserve"> του Εθνικού και Καποδιστριακού Πανεπιστημίου Αθηνών, ανακοινώνουν την </w:t>
      </w:r>
      <w:r w:rsidRPr="00C541DA">
        <w:rPr>
          <w:rFonts w:ascii="Calibri" w:hAnsi="Calibri"/>
          <w:b/>
        </w:rPr>
        <w:t xml:space="preserve">έναρξη </w:t>
      </w:r>
      <w:r w:rsidRPr="00CA5076">
        <w:rPr>
          <w:rFonts w:ascii="Calibri" w:hAnsi="Calibri"/>
          <w:b/>
        </w:rPr>
        <w:t>νέου</w:t>
      </w:r>
      <w:r>
        <w:rPr>
          <w:rFonts w:ascii="Calibri" w:hAnsi="Calibri"/>
          <w:b/>
        </w:rPr>
        <w:t xml:space="preserve"> κύκλου του </w:t>
      </w:r>
      <w:r w:rsidRPr="00C541DA">
        <w:rPr>
          <w:rFonts w:ascii="Calibri" w:hAnsi="Calibri"/>
          <w:b/>
        </w:rPr>
        <w:t xml:space="preserve">προγράμματος </w:t>
      </w:r>
      <w:r>
        <w:rPr>
          <w:rFonts w:ascii="Calibri" w:hAnsi="Calibri"/>
          <w:b/>
        </w:rPr>
        <w:t>εξ αποστάσεως εκπαίδευσης</w:t>
      </w:r>
      <w:r w:rsidRPr="00C541DA">
        <w:rPr>
          <w:rFonts w:ascii="Calibri" w:hAnsi="Calibri"/>
          <w:b/>
        </w:rPr>
        <w:t xml:space="preserve"> </w:t>
      </w:r>
      <w:r w:rsidRPr="003C704E">
        <w:rPr>
          <w:rFonts w:ascii="Calibri" w:hAnsi="Calibri"/>
        </w:rPr>
        <w:t xml:space="preserve">με τίτλο </w:t>
      </w:r>
      <w:r w:rsidRPr="00EC3A28">
        <w:rPr>
          <w:rFonts w:ascii="Calibri" w:hAnsi="Calibri"/>
          <w:b/>
        </w:rPr>
        <w:t>«4η Ευρωπαϊκή Οδηγία κατά του Ξεπλύματος Βρώμικου Χρήματος και της Χρηματοδότησης της Τρομοκρατίας»</w:t>
      </w:r>
      <w:r>
        <w:rPr>
          <w:rFonts w:ascii="Calibri" w:hAnsi="Calibri"/>
        </w:rPr>
        <w:t xml:space="preserve">, στις </w:t>
      </w:r>
      <w:r w:rsidRPr="00BB4F51">
        <w:rPr>
          <w:rFonts w:ascii="Calibri" w:hAnsi="Calibri"/>
          <w:b/>
        </w:rPr>
        <w:t>3 Οκτωβρίου 2016</w:t>
      </w:r>
      <w:r w:rsidRPr="00C541DA">
        <w:rPr>
          <w:rFonts w:ascii="Calibri" w:hAnsi="Calibri"/>
        </w:rPr>
        <w:t>.</w:t>
      </w:r>
      <w:r>
        <w:rPr>
          <w:rFonts w:ascii="Calibri" w:hAnsi="Calibri"/>
        </w:rPr>
        <w:t xml:space="preserve"> </w:t>
      </w:r>
    </w:p>
    <w:p w:rsidR="0083166D" w:rsidRPr="00EB1F10" w:rsidRDefault="0083166D" w:rsidP="0083166D">
      <w:pPr>
        <w:spacing w:line="276" w:lineRule="auto"/>
        <w:jc w:val="both"/>
        <w:rPr>
          <w:rFonts w:ascii="Calibri" w:hAnsi="Calibri"/>
        </w:rPr>
      </w:pPr>
    </w:p>
    <w:p w:rsidR="0083166D" w:rsidRPr="00B6021D" w:rsidRDefault="0083166D" w:rsidP="0083166D">
      <w:p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Πρόκειται για ένα </w:t>
      </w:r>
      <w:r w:rsidRPr="00487AED">
        <w:rPr>
          <w:rFonts w:ascii="Calibri" w:hAnsi="Calibri"/>
          <w:b/>
        </w:rPr>
        <w:t>εξειδικευμένο</w:t>
      </w:r>
      <w:r>
        <w:rPr>
          <w:rFonts w:ascii="Calibri" w:hAnsi="Calibri"/>
        </w:rPr>
        <w:t xml:space="preserve"> </w:t>
      </w:r>
      <w:r w:rsidRPr="007725A7">
        <w:rPr>
          <w:rFonts w:ascii="Calibri" w:hAnsi="Calibri"/>
        </w:rPr>
        <w:t>Πρόγραμμα</w:t>
      </w:r>
      <w:r>
        <w:rPr>
          <w:rFonts w:ascii="Calibri" w:hAnsi="Calibri"/>
        </w:rPr>
        <w:t>, το οποίο</w:t>
      </w:r>
      <w:r w:rsidRPr="007725A7">
        <w:rPr>
          <w:rFonts w:ascii="Calibri" w:hAnsi="Calibri"/>
        </w:rPr>
        <w:t xml:space="preserve"> επιδιώκει να προσφέρει στον εκπαιδευόμενο τη δυνατότητα</w:t>
      </w:r>
      <w:r>
        <w:rPr>
          <w:rFonts w:ascii="Calibri" w:hAnsi="Calibri"/>
        </w:rPr>
        <w:t xml:space="preserve"> να κατανοήσει πλήρως τ</w:t>
      </w:r>
      <w:r w:rsidRPr="00EC3A28">
        <w:rPr>
          <w:rFonts w:ascii="Calibri" w:hAnsi="Calibri"/>
        </w:rPr>
        <w:t xml:space="preserve">ις διατάξεις της </w:t>
      </w:r>
      <w:r w:rsidRPr="003C704E">
        <w:rPr>
          <w:rFonts w:ascii="Calibri" w:hAnsi="Calibri"/>
          <w:b/>
        </w:rPr>
        <w:t>4ης Ευρωπαϊκής Οδηγίας (ΕΕ) 2015/849</w:t>
      </w:r>
      <w:r w:rsidRPr="00EC3A28">
        <w:rPr>
          <w:rFonts w:ascii="Calibri" w:hAnsi="Calibri"/>
        </w:rPr>
        <w:t xml:space="preserve"> σχετικά με την πρόληψη της χρησιμοποίησης του χρηματοπιστωτικού συστήματος για τη νομιμοποίηση εσόδων από παράνομες δραστηριότητες ή για τη χρηματοδότηση της τρομοκρατίας</w:t>
      </w:r>
      <w:r>
        <w:rPr>
          <w:rFonts w:ascii="Calibri" w:hAnsi="Calibri"/>
        </w:rPr>
        <w:t xml:space="preserve">, καθώς και τις </w:t>
      </w:r>
      <w:r w:rsidRPr="00EC3A28">
        <w:rPr>
          <w:rFonts w:ascii="Calibri" w:hAnsi="Calibri"/>
        </w:rPr>
        <w:t>διαφορές της συγκριτικά με την 3η Ευρωπαϊκή Οδηγία, η οποία καταργείται.</w:t>
      </w:r>
      <w:r>
        <w:rPr>
          <w:rFonts w:ascii="Calibri" w:hAnsi="Calibri"/>
        </w:rPr>
        <w:t xml:space="preserve"> Επιπλέον, το Πρόγραμμα παρουσιάζει τ</w:t>
      </w:r>
      <w:r w:rsidRPr="00EC3A28">
        <w:rPr>
          <w:rFonts w:ascii="Calibri" w:hAnsi="Calibri"/>
        </w:rPr>
        <w:t xml:space="preserve">ο </w:t>
      </w:r>
      <w:r w:rsidRPr="003C704E">
        <w:rPr>
          <w:rFonts w:ascii="Calibri" w:hAnsi="Calibri"/>
          <w:b/>
        </w:rPr>
        <w:t>νέο Κανονισμό (ΕΕ) 2015/847</w:t>
      </w:r>
      <w:r w:rsidRPr="00EC3A28">
        <w:rPr>
          <w:rFonts w:ascii="Calibri" w:hAnsi="Calibri"/>
        </w:rPr>
        <w:t xml:space="preserve"> περί στοιχείων που συνοδεύουν τις μεταφορές χρηματικών ποσών</w:t>
      </w:r>
      <w:r>
        <w:rPr>
          <w:rFonts w:ascii="Calibri" w:hAnsi="Calibri"/>
        </w:rPr>
        <w:t>, καθώς και τ</w:t>
      </w:r>
      <w:r w:rsidRPr="00EC3A28">
        <w:rPr>
          <w:rFonts w:ascii="Calibri" w:hAnsi="Calibri"/>
        </w:rPr>
        <w:t xml:space="preserve">ο σχέδιο δράσης της Ευρωπαϊκής Επιτροπής για την </w:t>
      </w:r>
      <w:r w:rsidRPr="003C704E">
        <w:rPr>
          <w:rFonts w:ascii="Calibri" w:hAnsi="Calibri"/>
          <w:b/>
        </w:rPr>
        <w:t>ενίσχυση του αγώνα κατά της χρηματοδότησης της τρομοκρατίας</w:t>
      </w:r>
      <w:r w:rsidRPr="00EC3A28">
        <w:rPr>
          <w:rFonts w:ascii="Calibri" w:hAnsi="Calibri"/>
        </w:rPr>
        <w:t>.</w:t>
      </w:r>
    </w:p>
    <w:p w:rsidR="0083166D" w:rsidRPr="00B6021D" w:rsidRDefault="0083166D" w:rsidP="0083166D">
      <w:pPr>
        <w:spacing w:line="276" w:lineRule="auto"/>
        <w:jc w:val="both"/>
        <w:rPr>
          <w:rFonts w:ascii="Calibri" w:hAnsi="Calibri"/>
        </w:rPr>
      </w:pPr>
    </w:p>
    <w:p w:rsidR="0083166D" w:rsidRDefault="0083166D" w:rsidP="0083166D">
      <w:pPr>
        <w:spacing w:line="276" w:lineRule="auto"/>
        <w:jc w:val="both"/>
        <w:rPr>
          <w:rFonts w:ascii="Calibri" w:hAnsi="Calibri"/>
        </w:rPr>
      </w:pPr>
      <w:r w:rsidRPr="007725A7">
        <w:rPr>
          <w:rFonts w:ascii="Calibri" w:hAnsi="Calibri"/>
        </w:rPr>
        <w:t xml:space="preserve">Ο σχεδιασμός και η υλοποίηση του Προγράμματος γίνονται σε συνεργασία με </w:t>
      </w:r>
      <w:r w:rsidRPr="0012380D">
        <w:rPr>
          <w:rFonts w:ascii="Calibri" w:hAnsi="Calibri"/>
          <w:b/>
        </w:rPr>
        <w:t>εξειδικευμένα στελέχη</w:t>
      </w:r>
      <w:r w:rsidRPr="007725A7">
        <w:rPr>
          <w:rFonts w:ascii="Calibri" w:hAnsi="Calibri"/>
        </w:rPr>
        <w:t xml:space="preserve"> με πολύχρονη εμπειρία στον τραπεζικό κλάδο και στην προσφορά εκπαιδευτικών προγραμμάτων. </w:t>
      </w:r>
      <w:r w:rsidRPr="00B40468">
        <w:rPr>
          <w:rFonts w:ascii="Calibri" w:hAnsi="Calibri"/>
          <w:b/>
        </w:rPr>
        <w:t>Τ</w:t>
      </w:r>
      <w:r w:rsidRPr="007B3576">
        <w:rPr>
          <w:rFonts w:ascii="Calibri" w:hAnsi="Calibri"/>
          <w:b/>
        </w:rPr>
        <w:t xml:space="preserve">ο Πρόγραμμα δομείται </w:t>
      </w:r>
      <w:r w:rsidRPr="00BC1837">
        <w:rPr>
          <w:rFonts w:ascii="Calibri" w:hAnsi="Calibri"/>
          <w:b/>
        </w:rPr>
        <w:t xml:space="preserve">σε </w:t>
      </w:r>
      <w:r>
        <w:rPr>
          <w:rFonts w:ascii="Calibri" w:hAnsi="Calibri"/>
          <w:b/>
        </w:rPr>
        <w:t>τρεις</w:t>
      </w:r>
      <w:r w:rsidRPr="00BC1837">
        <w:rPr>
          <w:rFonts w:ascii="Calibri" w:hAnsi="Calibri"/>
          <w:b/>
        </w:rPr>
        <w:t xml:space="preserve"> (</w:t>
      </w:r>
      <w:r>
        <w:rPr>
          <w:rFonts w:ascii="Calibri" w:hAnsi="Calibri"/>
          <w:b/>
        </w:rPr>
        <w:t>3</w:t>
      </w:r>
      <w:r w:rsidRPr="00BC1837">
        <w:rPr>
          <w:rFonts w:ascii="Calibri" w:hAnsi="Calibri"/>
          <w:b/>
        </w:rPr>
        <w:t>) εκπαιδευτικές ενότητες, οι οποίες συνολικά αντιστοιχούν σε 30 ώρες εκπαίδευσης και έχουν κατανεμηθεί σε δύο (2) εκπαιδευτικές εβδομάδες</w:t>
      </w:r>
      <w:r w:rsidRPr="007725A7">
        <w:rPr>
          <w:rFonts w:ascii="Calibri" w:hAnsi="Calibri"/>
        </w:rPr>
        <w:t xml:space="preserve">. </w:t>
      </w:r>
      <w:r w:rsidRPr="00BC1837">
        <w:rPr>
          <w:rFonts w:ascii="Calibri" w:hAnsi="Calibri"/>
        </w:rPr>
        <w:t>Την πρώτη εκπαιδευτική εβδομάδα αναρτάται στην ηλεκτρονική πλατφόρμα το εκπαιδευτικό υλικό του Προγράμματος, το οποίο περιλαμβάνει, μεταξύ άλλων, θεωρία, ερωτήσεις, ασκήσεις και μελέτες περιπτώσεων (</w:t>
      </w:r>
      <w:proofErr w:type="spellStart"/>
      <w:r w:rsidRPr="00BC1837">
        <w:rPr>
          <w:rFonts w:ascii="Calibri" w:hAnsi="Calibri"/>
        </w:rPr>
        <w:t>case</w:t>
      </w:r>
      <w:proofErr w:type="spellEnd"/>
      <w:r w:rsidRPr="00BC1837">
        <w:rPr>
          <w:rFonts w:ascii="Calibri" w:hAnsi="Calibri"/>
        </w:rPr>
        <w:t xml:space="preserve"> </w:t>
      </w:r>
      <w:proofErr w:type="spellStart"/>
      <w:r w:rsidRPr="00BC1837">
        <w:rPr>
          <w:rFonts w:ascii="Calibri" w:hAnsi="Calibri"/>
        </w:rPr>
        <w:t>studies</w:t>
      </w:r>
      <w:proofErr w:type="spellEnd"/>
      <w:r w:rsidRPr="00BC1837">
        <w:rPr>
          <w:rFonts w:ascii="Calibri" w:hAnsi="Calibri"/>
        </w:rPr>
        <w:t>), καθώς και το προτεινόμενο σχέδιο μελέτης.</w:t>
      </w:r>
      <w:r>
        <w:rPr>
          <w:rFonts w:ascii="Calibri" w:hAnsi="Calibri"/>
        </w:rPr>
        <w:t xml:space="preserve"> </w:t>
      </w:r>
      <w:r w:rsidRPr="00BC1837">
        <w:rPr>
          <w:rFonts w:ascii="Calibri" w:hAnsi="Calibri"/>
        </w:rPr>
        <w:t>Τη δεύτερη εκπαιδευτική εβδομάδα πραγματοποιείται μία σύγχρονη τηλεδιάσκεψη με τους εισηγητές του Προγράμματος, μέσω της ηλεκτρονικής πλατφόρμας</w:t>
      </w:r>
      <w:r>
        <w:rPr>
          <w:rFonts w:ascii="Calibri" w:hAnsi="Calibri"/>
        </w:rPr>
        <w:t>. Ο</w:t>
      </w:r>
      <w:r w:rsidRPr="00BC1837">
        <w:rPr>
          <w:rFonts w:ascii="Calibri" w:hAnsi="Calibri"/>
        </w:rPr>
        <w:t xml:space="preserve">ι συμμετέχοντες εξετάζονται στη διδακτέα ύλη, μέσω διαγωνίσματος </w:t>
      </w:r>
      <w:r>
        <w:rPr>
          <w:rFonts w:ascii="Calibri" w:hAnsi="Calibri"/>
        </w:rPr>
        <w:t>που τους ανατίθεται ηλεκτρονικά</w:t>
      </w:r>
      <w:r w:rsidRPr="00BC1837">
        <w:rPr>
          <w:rFonts w:ascii="Calibri" w:hAnsi="Calibri"/>
        </w:rPr>
        <w:t>. Κάθε συμμετέχων στο Πρόγραμμα έχει τη δυνατότητα να επικοινωνεί καθημερινά με τους εισηγητές χρησιμοποιώντας την ηλεκτρονική πλατφόρμα επικοινωνίας (</w:t>
      </w:r>
      <w:proofErr w:type="spellStart"/>
      <w:r w:rsidRPr="00BC1837">
        <w:rPr>
          <w:rFonts w:ascii="Calibri" w:hAnsi="Calibri"/>
        </w:rPr>
        <w:t>forum</w:t>
      </w:r>
      <w:proofErr w:type="spellEnd"/>
      <w:r w:rsidRPr="00BC1837">
        <w:rPr>
          <w:rFonts w:ascii="Calibri" w:hAnsi="Calibri"/>
        </w:rPr>
        <w:t>).</w:t>
      </w:r>
      <w:r w:rsidRPr="007725A7">
        <w:rPr>
          <w:rFonts w:ascii="Calibri" w:hAnsi="Calibri"/>
          <w:color w:val="FF0000"/>
        </w:rPr>
        <w:t xml:space="preserve"> </w:t>
      </w:r>
      <w:r w:rsidRPr="007725A7">
        <w:rPr>
          <w:rFonts w:ascii="Calibri" w:hAnsi="Calibri"/>
        </w:rPr>
        <w:t xml:space="preserve">Με την επιτυχή περάτωση του Προγράμματος ο σπουδαστής αποκτά </w:t>
      </w:r>
      <w:r w:rsidRPr="007725A7">
        <w:rPr>
          <w:rFonts w:ascii="Calibri" w:hAnsi="Calibri"/>
          <w:b/>
        </w:rPr>
        <w:t xml:space="preserve">Πιστοποιητικό </w:t>
      </w:r>
      <w:r>
        <w:rPr>
          <w:rFonts w:ascii="Calibri" w:hAnsi="Calibri"/>
          <w:b/>
        </w:rPr>
        <w:t xml:space="preserve">στην </w:t>
      </w:r>
      <w:r w:rsidRPr="00EC3A28">
        <w:rPr>
          <w:rFonts w:ascii="Calibri" w:hAnsi="Calibri"/>
          <w:b/>
        </w:rPr>
        <w:t>4η Ευρωπαϊκή Οδηγία κατά του Ξεπλύματος Βρώμικου Χρήματος και της Χρηματοδότησης της Τρομοκρατίας</w:t>
      </w:r>
      <w:r w:rsidRPr="007725A7">
        <w:rPr>
          <w:rFonts w:ascii="Calibri" w:hAnsi="Calibri"/>
        </w:rPr>
        <w:t>.</w:t>
      </w:r>
    </w:p>
    <w:p w:rsidR="0083166D" w:rsidRDefault="0083166D" w:rsidP="0083166D">
      <w:pPr>
        <w:spacing w:line="276" w:lineRule="auto"/>
        <w:jc w:val="both"/>
        <w:rPr>
          <w:rFonts w:ascii="Calibri" w:hAnsi="Calibri" w:cs="Arial"/>
        </w:rPr>
      </w:pPr>
    </w:p>
    <w:p w:rsidR="00C541DA" w:rsidRPr="00C541DA" w:rsidRDefault="0083166D" w:rsidP="0083166D">
      <w:pPr>
        <w:spacing w:line="276" w:lineRule="auto"/>
        <w:jc w:val="both"/>
        <w:rPr>
          <w:rFonts w:ascii="Calibri" w:hAnsi="Calibri"/>
        </w:rPr>
      </w:pPr>
      <w:r>
        <w:rPr>
          <w:rFonts w:ascii="Calibri" w:hAnsi="Calibri" w:cs="Arial"/>
        </w:rPr>
        <w:t xml:space="preserve">Η </w:t>
      </w:r>
      <w:r w:rsidRPr="00C541DA">
        <w:rPr>
          <w:rFonts w:ascii="Calibri" w:hAnsi="Calibri" w:cs="Arial"/>
          <w:b/>
        </w:rPr>
        <w:t>υποβολή των αιτήσεων</w:t>
      </w:r>
      <w:r>
        <w:rPr>
          <w:rFonts w:ascii="Calibri" w:hAnsi="Calibri" w:cs="Arial"/>
        </w:rPr>
        <w:t xml:space="preserve"> διαρκεί έως τις</w:t>
      </w:r>
      <w:r w:rsidRPr="007725A7">
        <w:rPr>
          <w:rFonts w:ascii="Calibri" w:hAnsi="Calibri"/>
          <w:b/>
        </w:rPr>
        <w:t xml:space="preserve"> </w:t>
      </w:r>
      <w:r w:rsidRPr="00BB4F51">
        <w:rPr>
          <w:rFonts w:ascii="Calibri" w:hAnsi="Calibri"/>
          <w:b/>
        </w:rPr>
        <w:t xml:space="preserve">28 </w:t>
      </w:r>
      <w:r>
        <w:rPr>
          <w:rFonts w:ascii="Calibri" w:hAnsi="Calibri"/>
          <w:b/>
        </w:rPr>
        <w:t>Σεπτεμβρίου 2016</w:t>
      </w:r>
      <w:r>
        <w:rPr>
          <w:rFonts w:ascii="Calibri" w:hAnsi="Calibri" w:cs="Arial"/>
        </w:rPr>
        <w:t>. Για περισσότερες πληροφορίες</w:t>
      </w:r>
      <w:r w:rsidRPr="00FD0A2F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 xml:space="preserve">επισκεφτείτε την ιστοσελίδα </w:t>
      </w:r>
      <w:hyperlink r:id="rId6" w:history="1">
        <w:r w:rsidRPr="00B96176">
          <w:rPr>
            <w:rStyle w:val="Hyperlink"/>
            <w:rFonts w:ascii="Calibri" w:hAnsi="Calibri" w:cs="Arial"/>
          </w:rPr>
          <w:t>http://www.compliance.econ.uoa.gr/</w:t>
        </w:r>
      </w:hyperlink>
      <w:r w:rsidR="00FD0A2F" w:rsidRPr="009B40E5">
        <w:rPr>
          <w:rFonts w:ascii="Calibri" w:hAnsi="Calibri" w:cs="Arial"/>
        </w:rPr>
        <w:t>.</w:t>
      </w:r>
    </w:p>
    <w:sectPr w:rsidR="00C541DA" w:rsidRPr="00C541DA" w:rsidSect="00261D46">
      <w:headerReference w:type="default" r:id="rId7"/>
      <w:pgSz w:w="11906" w:h="16838"/>
      <w:pgMar w:top="-2516" w:right="1800" w:bottom="1079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0A25" w:rsidRDefault="00FB0A25">
      <w:r>
        <w:separator/>
      </w:r>
    </w:p>
  </w:endnote>
  <w:endnote w:type="continuationSeparator" w:id="0">
    <w:p w:rsidR="00FB0A25" w:rsidRDefault="00FB0A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0A25" w:rsidRDefault="00FB0A25">
      <w:r>
        <w:separator/>
      </w:r>
    </w:p>
  </w:footnote>
  <w:footnote w:type="continuationSeparator" w:id="0">
    <w:p w:rsidR="00FB0A25" w:rsidRDefault="00FB0A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8E6" w:rsidRDefault="00D00766" w:rsidP="00F60DC1">
    <w:pPr>
      <w:pStyle w:val="Header"/>
      <w:ind w:firstLine="1080"/>
      <w:rPr>
        <w:rFonts w:ascii="Calibri" w:hAnsi="Calibri"/>
        <w:b/>
      </w:rPr>
    </w:pPr>
    <w:r>
      <w:rPr>
        <w:noProof/>
        <w:lang w:val="en-US" w:eastAsia="en-U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-33020</wp:posOffset>
          </wp:positionV>
          <wp:extent cx="532130" cy="802005"/>
          <wp:effectExtent l="19050" t="0" r="1270" b="0"/>
          <wp:wrapSquare wrapText="bothSides"/>
          <wp:docPr id="1" name="Εικόνα 1" descr="logo_uo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uo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130" cy="802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758E6" w:rsidRPr="00C541DA">
      <w:rPr>
        <w:rFonts w:ascii="Calibri" w:hAnsi="Calibri"/>
        <w:b/>
      </w:rPr>
      <w:t xml:space="preserve">Εργαστήριο Επενδυτικών Εφαρμογών </w:t>
    </w:r>
  </w:p>
  <w:p w:rsidR="00F60DC1" w:rsidRPr="0008720B" w:rsidRDefault="00E758E6" w:rsidP="00E758E6">
    <w:pPr>
      <w:pStyle w:val="Header"/>
      <w:pBdr>
        <w:bottom w:val="single" w:sz="4" w:space="1" w:color="auto"/>
      </w:pBdr>
      <w:ind w:firstLine="1080"/>
      <w:rPr>
        <w:rFonts w:ascii="Calibri" w:hAnsi="Calibri"/>
        <w:color w:val="999999"/>
        <w:sz w:val="28"/>
        <w:szCs w:val="28"/>
      </w:rPr>
    </w:pPr>
    <w:r w:rsidRPr="00C541DA">
      <w:rPr>
        <w:rFonts w:ascii="Calibri" w:hAnsi="Calibri"/>
        <w:b/>
      </w:rPr>
      <w:t>Κέντρο Μελετών και Εκπαίδευσης Χρηματοοικονομικής</w:t>
    </w:r>
    <w:r w:rsidR="00E86FC0">
      <w:rPr>
        <w:rFonts w:ascii="Calibri" w:hAnsi="Calibri"/>
        <w:color w:val="999999"/>
        <w:sz w:val="28"/>
        <w:szCs w:val="28"/>
      </w:rPr>
      <w:t xml:space="preserve"> </w:t>
    </w:r>
  </w:p>
  <w:p w:rsidR="00E758E6" w:rsidRPr="0008720B" w:rsidRDefault="00F60DC1" w:rsidP="00E758E6">
    <w:pPr>
      <w:pStyle w:val="Header"/>
      <w:pBdr>
        <w:bottom w:val="single" w:sz="4" w:space="1" w:color="auto"/>
      </w:pBdr>
      <w:ind w:firstLine="1080"/>
      <w:rPr>
        <w:rFonts w:ascii="Calibri" w:hAnsi="Calibri"/>
        <w:b/>
      </w:rPr>
    </w:pPr>
    <w:r w:rsidRPr="00F60DC1">
      <w:rPr>
        <w:rFonts w:ascii="Calibri" w:hAnsi="Calibri"/>
        <w:b/>
      </w:rPr>
      <w:t>Τμήμα</w:t>
    </w:r>
    <w:r w:rsidRPr="00F60DC1">
      <w:rPr>
        <w:rFonts w:ascii="Calibri" w:hAnsi="Calibri"/>
        <w:color w:val="999999"/>
        <w:sz w:val="28"/>
        <w:szCs w:val="28"/>
      </w:rPr>
      <w:t xml:space="preserve"> </w:t>
    </w:r>
    <w:r w:rsidRPr="00F60DC1">
      <w:rPr>
        <w:rFonts w:ascii="Calibri" w:hAnsi="Calibri"/>
        <w:b/>
      </w:rPr>
      <w:t>Οικονομικών</w:t>
    </w:r>
    <w:r w:rsidRPr="00F60DC1">
      <w:rPr>
        <w:rFonts w:ascii="Calibri" w:hAnsi="Calibri"/>
        <w:color w:val="999999"/>
        <w:sz w:val="28"/>
        <w:szCs w:val="28"/>
      </w:rPr>
      <w:t xml:space="preserve"> </w:t>
    </w:r>
    <w:r w:rsidRPr="00F60DC1">
      <w:rPr>
        <w:rFonts w:ascii="Calibri" w:hAnsi="Calibri"/>
        <w:b/>
      </w:rPr>
      <w:t>Επιστημών</w:t>
    </w:r>
    <w:r w:rsidR="00E86FC0" w:rsidRPr="00F60DC1">
      <w:rPr>
        <w:rFonts w:ascii="Calibri" w:hAnsi="Calibri"/>
        <w:b/>
      </w:rPr>
      <w:t xml:space="preserve"> </w:t>
    </w:r>
  </w:p>
  <w:p w:rsidR="00F60DC1" w:rsidRPr="00F60DC1" w:rsidRDefault="00F60DC1" w:rsidP="00E758E6">
    <w:pPr>
      <w:pStyle w:val="Header"/>
      <w:pBdr>
        <w:bottom w:val="single" w:sz="4" w:space="1" w:color="auto"/>
      </w:pBdr>
      <w:ind w:firstLine="1080"/>
      <w:rPr>
        <w:rFonts w:ascii="Calibri" w:hAnsi="Calibri"/>
        <w:b/>
      </w:rPr>
    </w:pPr>
    <w:r w:rsidRPr="00F60DC1">
      <w:rPr>
        <w:rFonts w:ascii="Calibri" w:hAnsi="Calibri"/>
        <w:b/>
      </w:rPr>
      <w:t>Εθνικό και Καποδιστριακό Πανεπιστήμιο Αθηνών</w:t>
    </w:r>
  </w:p>
  <w:p w:rsidR="00E86FC0" w:rsidRPr="00AB2532" w:rsidRDefault="00E86FC0" w:rsidP="00E758E6">
    <w:pPr>
      <w:pStyle w:val="Header"/>
      <w:pBdr>
        <w:bottom w:val="single" w:sz="4" w:space="1" w:color="auto"/>
      </w:pBdr>
      <w:ind w:firstLine="1080"/>
      <w:jc w:val="right"/>
      <w:rPr>
        <w:rFonts w:ascii="Calibri" w:hAnsi="Calibri"/>
        <w:b/>
      </w:rPr>
    </w:pPr>
    <w:r w:rsidRPr="00AB2532">
      <w:rPr>
        <w:rFonts w:ascii="Calibri" w:hAnsi="Calibri" w:cs="Arial"/>
        <w:color w:val="000000"/>
      </w:rPr>
      <w:t>ΔΕΛΤΙΟ ΤΥΠΟΥ</w:t>
    </w:r>
  </w:p>
  <w:p w:rsidR="00E86FC0" w:rsidRPr="00AB2532" w:rsidRDefault="00E86FC0" w:rsidP="00AB2532">
    <w:pPr>
      <w:rPr>
        <w:rFonts w:ascii="Calibri" w:hAnsi="Calibri"/>
      </w:rPr>
    </w:pPr>
  </w:p>
  <w:p w:rsidR="00E86FC0" w:rsidRDefault="00E86FC0" w:rsidP="00AB2532"/>
  <w:p w:rsidR="00E86FC0" w:rsidRPr="00AB2532" w:rsidRDefault="00E86FC0" w:rsidP="00AB253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20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/>
  <w:rsids>
    <w:rsidRoot w:val="00CF73FC"/>
    <w:rsid w:val="0008720B"/>
    <w:rsid w:val="00092FD3"/>
    <w:rsid w:val="001E64BF"/>
    <w:rsid w:val="00234CA6"/>
    <w:rsid w:val="00245104"/>
    <w:rsid w:val="00261D46"/>
    <w:rsid w:val="002819F8"/>
    <w:rsid w:val="00282E4E"/>
    <w:rsid w:val="002B1F2A"/>
    <w:rsid w:val="002E0C24"/>
    <w:rsid w:val="00354D16"/>
    <w:rsid w:val="004221A9"/>
    <w:rsid w:val="004774A4"/>
    <w:rsid w:val="004A3EDD"/>
    <w:rsid w:val="00523500"/>
    <w:rsid w:val="00535DF8"/>
    <w:rsid w:val="005657A6"/>
    <w:rsid w:val="00641181"/>
    <w:rsid w:val="00643CC7"/>
    <w:rsid w:val="00662C3E"/>
    <w:rsid w:val="006D13B6"/>
    <w:rsid w:val="00721682"/>
    <w:rsid w:val="0074485C"/>
    <w:rsid w:val="007F17B0"/>
    <w:rsid w:val="0083166D"/>
    <w:rsid w:val="00854B3C"/>
    <w:rsid w:val="00877ED6"/>
    <w:rsid w:val="008C7F2B"/>
    <w:rsid w:val="009B3D63"/>
    <w:rsid w:val="009B40E5"/>
    <w:rsid w:val="00A148A4"/>
    <w:rsid w:val="00A27458"/>
    <w:rsid w:val="00A757ED"/>
    <w:rsid w:val="00A848C4"/>
    <w:rsid w:val="00AB0758"/>
    <w:rsid w:val="00AB2532"/>
    <w:rsid w:val="00AB52E7"/>
    <w:rsid w:val="00B16D76"/>
    <w:rsid w:val="00B35B31"/>
    <w:rsid w:val="00B40468"/>
    <w:rsid w:val="00C3708F"/>
    <w:rsid w:val="00C541DA"/>
    <w:rsid w:val="00C570CF"/>
    <w:rsid w:val="00CE0E83"/>
    <w:rsid w:val="00CF73FC"/>
    <w:rsid w:val="00D00766"/>
    <w:rsid w:val="00D268CE"/>
    <w:rsid w:val="00D62F3C"/>
    <w:rsid w:val="00D65426"/>
    <w:rsid w:val="00D700D3"/>
    <w:rsid w:val="00D82DD6"/>
    <w:rsid w:val="00D90224"/>
    <w:rsid w:val="00DA772E"/>
    <w:rsid w:val="00DD4522"/>
    <w:rsid w:val="00DE5B8E"/>
    <w:rsid w:val="00DE60EF"/>
    <w:rsid w:val="00DF764D"/>
    <w:rsid w:val="00E474FF"/>
    <w:rsid w:val="00E758E6"/>
    <w:rsid w:val="00E86FC0"/>
    <w:rsid w:val="00E91D21"/>
    <w:rsid w:val="00EB4D8D"/>
    <w:rsid w:val="00F57014"/>
    <w:rsid w:val="00F60DC1"/>
    <w:rsid w:val="00FB0A25"/>
    <w:rsid w:val="00FD0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4CA6"/>
    <w:rPr>
      <w:sz w:val="24"/>
      <w:szCs w:val="24"/>
    </w:rPr>
  </w:style>
  <w:style w:type="paragraph" w:styleId="Heading1">
    <w:name w:val="heading 1"/>
    <w:basedOn w:val="Normal"/>
    <w:qFormat/>
    <w:rsid w:val="002E0C2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F73FC"/>
  </w:style>
  <w:style w:type="paragraph" w:styleId="HTMLPreformatted">
    <w:name w:val="HTML Preformatted"/>
    <w:basedOn w:val="Normal"/>
    <w:rsid w:val="00CF73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Hyperlink">
    <w:name w:val="Hyperlink"/>
    <w:basedOn w:val="DefaultParagraphFont"/>
    <w:rsid w:val="00523500"/>
    <w:rPr>
      <w:color w:val="0000FF"/>
      <w:u w:val="single"/>
    </w:rPr>
  </w:style>
  <w:style w:type="character" w:customStyle="1" w:styleId="st">
    <w:name w:val="st"/>
    <w:basedOn w:val="DefaultParagraphFont"/>
    <w:rsid w:val="00C541DA"/>
  </w:style>
  <w:style w:type="paragraph" w:styleId="Header">
    <w:name w:val="header"/>
    <w:basedOn w:val="Normal"/>
    <w:rsid w:val="00AB253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B2532"/>
    <w:pPr>
      <w:tabs>
        <w:tab w:val="center" w:pos="4153"/>
        <w:tab w:val="right" w:pos="8306"/>
      </w:tabs>
    </w:pPr>
  </w:style>
  <w:style w:type="character" w:styleId="FollowedHyperlink">
    <w:name w:val="FollowedHyperlink"/>
    <w:basedOn w:val="DefaultParagraphFont"/>
    <w:rsid w:val="00F60DC1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9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3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2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mpliance.econ.uoa.gr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2325</Characters>
  <Application>Microsoft Office Word</Application>
  <DocSecurity>0</DocSecurity>
  <Lines>19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Τίτλος: «Έναρξη προγράμματος μεταπτυχιακού επιπέδου στον Εσωτερικό Έλεγχο»</vt:lpstr>
      <vt:lpstr>Τίτλος: «Έναρξη προγράμματος μεταπτυχιακού επιπέδου στον Εσωτερικό Έλεγχο»</vt:lpstr>
    </vt:vector>
  </TitlesOfParts>
  <Company>Teregosa</Company>
  <LinksUpToDate>false</LinksUpToDate>
  <CharactersWithSpaces>2659</CharactersWithSpaces>
  <SharedDoc>false</SharedDoc>
  <HLinks>
    <vt:vector size="6" baseType="variant">
      <vt:variant>
        <vt:i4>3407930</vt:i4>
      </vt:variant>
      <vt:variant>
        <vt:i4>0</vt:i4>
      </vt:variant>
      <vt:variant>
        <vt:i4>0</vt:i4>
      </vt:variant>
      <vt:variant>
        <vt:i4>5</vt:i4>
      </vt:variant>
      <vt:variant>
        <vt:lpwstr>http://www.compliance.econ.uoa.gr/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Τίτλος: «Έναρξη προγράμματος μεταπτυχιακού επιπέδου στον Εσωτερικό Έλεγχο»</dc:title>
  <dc:creator>sofia</dc:creator>
  <cp:lastModifiedBy>Laptop</cp:lastModifiedBy>
  <cp:revision>5</cp:revision>
  <cp:lastPrinted>2014-02-27T12:51:00Z</cp:lastPrinted>
  <dcterms:created xsi:type="dcterms:W3CDTF">2015-09-21T12:48:00Z</dcterms:created>
  <dcterms:modified xsi:type="dcterms:W3CDTF">2016-09-04T09:31:00Z</dcterms:modified>
</cp:coreProperties>
</file>