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B7" w:rsidRDefault="006345B7" w:rsidP="006345B7">
      <w:pPr>
        <w:spacing w:line="340" w:lineRule="exact"/>
        <w:jc w:val="center"/>
        <w:rPr>
          <w:rFonts w:ascii="Palatino Linotype" w:hAnsi="Palatino Linotype"/>
          <w:b/>
          <w:i/>
        </w:rPr>
      </w:pPr>
      <w:bookmarkStart w:id="0" w:name="_GoBack"/>
      <w:bookmarkEnd w:id="0"/>
      <w:r w:rsidRPr="00AF3372">
        <w:rPr>
          <w:rFonts w:ascii="Palatino Linotype" w:hAnsi="Palatino Linotype"/>
          <w:noProof/>
          <w:lang w:eastAsia="el-GR"/>
        </w:rPr>
        <w:drawing>
          <wp:anchor distT="0" distB="0" distL="114300" distR="114300" simplePos="0" relativeHeight="251660288" behindDoc="0" locked="0" layoutInCell="1" allowOverlap="1">
            <wp:simplePos x="0" y="0"/>
            <wp:positionH relativeFrom="rightMargin">
              <wp:posOffset>-495300</wp:posOffset>
            </wp:positionH>
            <wp:positionV relativeFrom="paragraph">
              <wp:posOffset>-142875</wp:posOffset>
            </wp:positionV>
            <wp:extent cx="528955" cy="457200"/>
            <wp:effectExtent l="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955" cy="457200"/>
                    </a:xfrm>
                    <a:prstGeom prst="rect">
                      <a:avLst/>
                    </a:prstGeom>
                    <a:noFill/>
                  </pic:spPr>
                </pic:pic>
              </a:graphicData>
            </a:graphic>
          </wp:anchor>
        </w:drawing>
      </w:r>
      <w:r w:rsidRPr="00AF3372">
        <w:rPr>
          <w:rFonts w:ascii="Palatino Linotype" w:hAnsi="Palatino Linotype"/>
          <w:b/>
          <w:i/>
        </w:rPr>
        <w:t>ΤΑΜΕΙΟ ΠΑΡΑΚΑΤΑΘΗΚΩΝ ΚΑΙ ΔΑΝΕΙΩΝ</w:t>
      </w:r>
    </w:p>
    <w:p w:rsidR="00AF3372" w:rsidRPr="00AF3372" w:rsidRDefault="00AF3372" w:rsidP="006345B7">
      <w:pPr>
        <w:spacing w:line="340" w:lineRule="exact"/>
        <w:jc w:val="center"/>
        <w:rPr>
          <w:rFonts w:ascii="Palatino Linotype" w:hAnsi="Palatino Linotype"/>
        </w:rPr>
      </w:pPr>
      <w:r>
        <w:rPr>
          <w:rFonts w:ascii="Palatino Linotype" w:hAnsi="Palatino Linotype"/>
          <w:b/>
          <w:i/>
        </w:rPr>
        <w:t>ΤΜΗΜΑ ΔΗΜΟΣΙΩΝ ΣΧΕΣΕΩΝ</w:t>
      </w:r>
    </w:p>
    <w:p w:rsidR="006345B7" w:rsidRDefault="006F0F95" w:rsidP="006345B7">
      <w:pPr>
        <w:spacing w:line="240" w:lineRule="exact"/>
        <w:jc w:val="center"/>
        <w:rPr>
          <w:rFonts w:ascii="Bookman Old Style" w:hAnsi="Bookman Old Style"/>
        </w:rPr>
      </w:pPr>
      <w:r>
        <w:rPr>
          <w:rFonts w:ascii="Bookman Old Style" w:hAnsi="Bookman Old Style"/>
          <w:noProof/>
          <w:lang w:eastAsia="el-GR"/>
        </w:rPr>
        <mc:AlternateContent>
          <mc:Choice Requires="wps">
            <w:drawing>
              <wp:anchor distT="4294967295" distB="4294967295" distL="114300" distR="114300" simplePos="0" relativeHeight="251659264" behindDoc="0" locked="0" layoutInCell="1" allowOverlap="1">
                <wp:simplePos x="0" y="0"/>
                <wp:positionH relativeFrom="margin">
                  <wp:posOffset>33655</wp:posOffset>
                </wp:positionH>
                <wp:positionV relativeFrom="paragraph">
                  <wp:posOffset>41275</wp:posOffset>
                </wp:positionV>
                <wp:extent cx="5667375" cy="0"/>
                <wp:effectExtent l="0" t="0" r="9525" b="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95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B6B719" id="Ευθεία γραμμή σύνδεσης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65pt,3.25pt" to="44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" strokecolor="#950000" strokeweight="1.5pt">
                <w10:wrap anchorx="margin"/>
              </v:line>
            </w:pict>
          </mc:Fallback>
        </mc:AlternateContent>
      </w:r>
    </w:p>
    <w:p w:rsidR="006345B7" w:rsidRDefault="006345B7" w:rsidP="00E15695">
      <w:pPr>
        <w:spacing w:after="80" w:line="260" w:lineRule="exact"/>
        <w:jc w:val="center"/>
        <w:rPr>
          <w:rFonts w:ascii="Bookman Old Style" w:hAnsi="Bookman Old Style"/>
          <w:b/>
          <w:sz w:val="32"/>
          <w:szCs w:val="32"/>
        </w:rPr>
      </w:pPr>
    </w:p>
    <w:p w:rsidR="006345B7" w:rsidRPr="00AF3372" w:rsidRDefault="006345B7" w:rsidP="006345B7">
      <w:pPr>
        <w:spacing w:line="340" w:lineRule="exact"/>
        <w:jc w:val="center"/>
        <w:rPr>
          <w:rFonts w:ascii="Bookman Old Style" w:hAnsi="Bookman Old Style"/>
          <w:b/>
          <w:sz w:val="32"/>
          <w:szCs w:val="32"/>
        </w:rPr>
      </w:pPr>
      <w:r w:rsidRPr="00AF3372">
        <w:rPr>
          <w:rFonts w:ascii="Bookman Old Style" w:hAnsi="Bookman Old Style"/>
          <w:b/>
          <w:sz w:val="32"/>
          <w:szCs w:val="32"/>
        </w:rPr>
        <w:t>ΔΕΛΤΙΟ ΤΥΠΟΥ</w:t>
      </w:r>
    </w:p>
    <w:p w:rsidR="00AF3372" w:rsidRPr="002C6E5D" w:rsidRDefault="002C6E5D" w:rsidP="002C6E5D">
      <w:pPr>
        <w:spacing w:after="0" w:line="280" w:lineRule="exact"/>
        <w:rPr>
          <w:rFonts w:ascii="Palatino Linotype" w:hAnsi="Palatino Linotype" w:cs="Arial"/>
          <w:b/>
          <w:i/>
          <w:sz w:val="24"/>
          <w:szCs w:val="24"/>
        </w:rPr>
      </w:pPr>
      <w:r>
        <w:rPr>
          <w:rFonts w:ascii="Bookman Old Style" w:hAnsi="Bookman Old Style"/>
          <w:b/>
          <w:sz w:val="32"/>
          <w:szCs w:val="32"/>
        </w:rPr>
        <w:t xml:space="preserve">                                                                      </w:t>
      </w:r>
      <w:r w:rsidR="00E15695" w:rsidRPr="002C6E5D">
        <w:rPr>
          <w:rFonts w:ascii="Palatino Linotype" w:hAnsi="Palatino Linotype" w:cs="Arial"/>
          <w:b/>
          <w:i/>
          <w:sz w:val="24"/>
          <w:szCs w:val="24"/>
        </w:rPr>
        <w:t xml:space="preserve">16 </w:t>
      </w:r>
      <w:r w:rsidR="00AF3372" w:rsidRPr="002C6E5D">
        <w:rPr>
          <w:rFonts w:ascii="Palatino Linotype" w:hAnsi="Palatino Linotype" w:cs="Arial"/>
          <w:b/>
          <w:i/>
          <w:sz w:val="24"/>
          <w:szCs w:val="24"/>
        </w:rPr>
        <w:t>Μαρτίου</w:t>
      </w:r>
      <w:r w:rsidR="00E15695" w:rsidRPr="002C6E5D">
        <w:rPr>
          <w:rFonts w:ascii="Palatino Linotype" w:hAnsi="Palatino Linotype" w:cs="Arial"/>
          <w:b/>
          <w:i/>
          <w:sz w:val="24"/>
          <w:szCs w:val="24"/>
        </w:rPr>
        <w:t xml:space="preserve"> 20</w:t>
      </w:r>
      <w:r w:rsidR="00AF3372" w:rsidRPr="002C6E5D">
        <w:rPr>
          <w:rFonts w:ascii="Palatino Linotype" w:hAnsi="Palatino Linotype" w:cs="Arial"/>
          <w:b/>
          <w:i/>
          <w:sz w:val="24"/>
          <w:szCs w:val="24"/>
        </w:rPr>
        <w:t>20</w:t>
      </w:r>
    </w:p>
    <w:p w:rsidR="00AF3372" w:rsidRDefault="00AF3372" w:rsidP="00AF3372">
      <w:pPr>
        <w:spacing w:after="0" w:line="280" w:lineRule="exact"/>
        <w:rPr>
          <w:rFonts w:ascii="Book Antiqua" w:hAnsi="Book Antiqua" w:cs="Arial"/>
          <w:i/>
        </w:rPr>
      </w:pP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      Στο πλαίσιο της λήψης μέτρων για την πρόληψη και προστασία της δημόσιας υγείας έναντι του κορωναϊού COVID-19, κατά την με αριθμό 3708/15.3.2020 συνεδρίαση του Δ.Σ. του Τ. Π. &amp; Δανείων  (ΦΕΚ 863/Β/15-03-2020) αποφασίστηκε ο περιορισμός της λειτουργίας του Οργανισμού, με αντίστοιχη μείωση των ωρών προσέλευσης του συναλλασσόμενου κοινού στην Κ.Υ. και τα Καταστήματα, αποκλειστικά για την παροχή των άκρως απαραίτητων υπηρεσιών και ειδικότερα:</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α. Τη σύσταση χρηματικών </w:t>
      </w:r>
      <w:proofErr w:type="spellStart"/>
      <w:r w:rsidRPr="00AF3372">
        <w:rPr>
          <w:rFonts w:ascii="Palatino Linotype" w:hAnsi="Palatino Linotype" w:cs="Arial"/>
          <w:i/>
          <w:sz w:val="24"/>
          <w:szCs w:val="24"/>
        </w:rPr>
        <w:t>εγγυοδοτικών</w:t>
      </w:r>
      <w:proofErr w:type="spellEnd"/>
      <w:r w:rsidRPr="00AF3372">
        <w:rPr>
          <w:rFonts w:ascii="Palatino Linotype" w:hAnsi="Palatino Linotype" w:cs="Arial"/>
          <w:i/>
          <w:sz w:val="24"/>
          <w:szCs w:val="24"/>
        </w:rPr>
        <w:t xml:space="preserve"> παρακαταθηκών, ιδίως αποφυλακίσεων, καθώς και άλλων υποχρεωτικών παρακαταθηκών που αποδεδειγμένα πρέπει να συσταθούν λόγω λήξης προθεσμιών. </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β. Τις αναλήψεις καταθέσεων, συμπεριλαμβανομένων των διατραπεζικών μεταφορών πιστώσεων (DCT).</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γ. Την επίσκεψη στις θυρίδες.</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     Κατόπιν αυτού, γνωστοποιούνται τα ακόλουθα :</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1. Για τις ανωτέρω συναλλαγές περιορίζονται οι ώρες προσέλευσης κοινού στο Τ. Π. &amp; Δανείων στις ώρες 10:00-13:00 ημερησίως.</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2. Οι συναλλαγές θα πραγματοποιούνται αποκλειστικά κατόπιν προγραμματισμένης συνάντησης. Η επικοινωνία για τον καθορισμό της συνάντησης του συναλλασσόμενου ή του </w:t>
      </w:r>
      <w:proofErr w:type="spellStart"/>
      <w:r w:rsidRPr="00AF3372">
        <w:rPr>
          <w:rFonts w:ascii="Palatino Linotype" w:hAnsi="Palatino Linotype" w:cs="Arial"/>
          <w:i/>
          <w:sz w:val="24"/>
          <w:szCs w:val="24"/>
        </w:rPr>
        <w:t>νομίμου</w:t>
      </w:r>
      <w:proofErr w:type="spellEnd"/>
      <w:r w:rsidRPr="00AF3372">
        <w:rPr>
          <w:rFonts w:ascii="Palatino Linotype" w:hAnsi="Palatino Linotype" w:cs="Arial"/>
          <w:i/>
          <w:sz w:val="24"/>
          <w:szCs w:val="24"/>
        </w:rPr>
        <w:t xml:space="preserve"> εκπροσώπου με την Υπηρεσία, θα πραγματοποιείται μέσω αποστολής έγγραφου αιτήματος (</w:t>
      </w:r>
      <w:proofErr w:type="spellStart"/>
      <w:r w:rsidRPr="00AF3372">
        <w:rPr>
          <w:rFonts w:ascii="Palatino Linotype" w:hAnsi="Palatino Linotype" w:cs="Arial"/>
          <w:i/>
          <w:sz w:val="24"/>
          <w:szCs w:val="24"/>
        </w:rPr>
        <w:t>fax</w:t>
      </w:r>
      <w:proofErr w:type="spellEnd"/>
      <w:r w:rsidRPr="00AF3372">
        <w:rPr>
          <w:rFonts w:ascii="Palatino Linotype" w:hAnsi="Palatino Linotype" w:cs="Arial"/>
          <w:i/>
          <w:sz w:val="24"/>
          <w:szCs w:val="24"/>
        </w:rPr>
        <w:t xml:space="preserve">), αιτήματος μέσω ηλεκτρονικού ταχυδρομείου ή τηλεφωνικής επικοινωνίας. </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3. Οι Υπηρεσίες θα λαμβάνουν τα λοιπά αιτήματα των </w:t>
      </w:r>
      <w:proofErr w:type="spellStart"/>
      <w:r w:rsidRPr="00AF3372">
        <w:rPr>
          <w:rFonts w:ascii="Palatino Linotype" w:hAnsi="Palatino Linotype" w:cs="Arial"/>
          <w:i/>
          <w:sz w:val="24"/>
          <w:szCs w:val="24"/>
        </w:rPr>
        <w:t>συναλλασσομένων</w:t>
      </w:r>
      <w:proofErr w:type="spellEnd"/>
      <w:r w:rsidRPr="00AF3372">
        <w:rPr>
          <w:rFonts w:ascii="Palatino Linotype" w:hAnsi="Palatino Linotype" w:cs="Arial"/>
          <w:i/>
          <w:sz w:val="24"/>
          <w:szCs w:val="24"/>
        </w:rPr>
        <w:t xml:space="preserve"> μέσω ταχυδρομείου, ηλεκτρονικού ταχυδρομείου ή τηλεφωνικά. Υποχρεωτικά στο email του ο συναλλασσόμενος θα αναφέρει τα στοιχεία επικοινωνίας του (email και τηλέφωνο).</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4. Οι συγκεκριμένες ηλεκτρονικές διευθύνσεις και τα τηλέφωνα επικοινωνίας θα δημοσιευθούν στην ιστοσελίδα του Ταμείου Παρακαταθηκών και Δανείων (www.tpd.gr), καθώς και στην είσοδο της Κεντρικής Υπηρεσίας και των Καταστημάτων, με μέριμνα των αρμόδιων Υπηρεσιών. </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5. Οι συναλλαγές στα Γραφεία Παρακαταθηκών στις κατά τόπους Δ.Ο.Υ. θα πραγματοποιούνται σύμφωνα με τα διαλαμβανόμενα στο άρθρο 2 της απόφασης με αριθμ. ΔΔΑΔ Α 1037653 ΕΞ 2020 «Μέτρα κατά της διασποράς του κορωνοϊού COVID-19 σε χώρους λειτουργίας των υπηρεσιών της Ανεξάρτητης Αρχής Δημοσίων Εσόδων» του Διοικητή της ΑΑΔΕ (ΦΕΚ 858 Β΄14/3/2020). </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6. Οι συστάσεις των τελωνειακών παρακαταθηκών στα Τελωνεία θα γίνονται σύμφωνα με τα ισχύοντα και τα διαλαμβανόμενα στο άρθρο 3 της απόφασης με αριθμ. ΔΔΑΔ Α 1037653 ΕΞ 2020 «Μέτρα κατά της διασποράς του κορωνοϊού COVID-19 σε χώρους λειτουργίας των υπηρεσιών της Ανεξάρτητης Αρχής Δημοσίων Εσόδων» του Διοικητή της ΑΑΔΕ (ΦΕΚ 858 Β΄14/3/2020).</w:t>
      </w:r>
    </w:p>
    <w:p w:rsidR="00AF3372" w:rsidRPr="00AF3372" w:rsidRDefault="00AF3372" w:rsidP="00AF3372">
      <w:pPr>
        <w:spacing w:after="0" w:line="280" w:lineRule="exact"/>
        <w:rPr>
          <w:rFonts w:ascii="Palatino Linotype" w:hAnsi="Palatino Linotype" w:cs="Arial"/>
          <w:i/>
          <w:sz w:val="24"/>
          <w:szCs w:val="24"/>
        </w:rPr>
      </w:pPr>
      <w:r w:rsidRPr="00AF3372">
        <w:rPr>
          <w:rFonts w:ascii="Palatino Linotype" w:hAnsi="Palatino Linotype" w:cs="Arial"/>
          <w:i/>
          <w:sz w:val="24"/>
          <w:szCs w:val="24"/>
        </w:rPr>
        <w:t xml:space="preserve">     Για την λήψη περαιτέρω μέτρων με σκοπό την περιορισμό της διασποράς του κορωναϊού COVID-19, το συναλλασσόμενο κοινό θα ενημερώνεται άμεσα από την ιστοσελίδα του Ταμείου Παρακαταθηκών και Δανείων (www.tpd.gr).        </w:t>
      </w:r>
    </w:p>
    <w:p w:rsidR="00AF3372" w:rsidRPr="00AF3372" w:rsidRDefault="00AF3372" w:rsidP="00AF3372">
      <w:pPr>
        <w:spacing w:after="0" w:line="280" w:lineRule="exact"/>
        <w:rPr>
          <w:rFonts w:ascii="Palatino Linotype" w:hAnsi="Palatino Linotype" w:cs="Arial"/>
          <w:i/>
          <w:sz w:val="24"/>
          <w:szCs w:val="24"/>
        </w:rPr>
      </w:pPr>
    </w:p>
    <w:p w:rsidR="00B16968" w:rsidRPr="00AF3372" w:rsidRDefault="00AF3372" w:rsidP="00AF3372">
      <w:pPr>
        <w:spacing w:after="0" w:line="280" w:lineRule="exact"/>
        <w:rPr>
          <w:rFonts w:ascii="Palatino Linotype" w:hAnsi="Palatino Linotype" w:cs="Arial"/>
          <w:b/>
          <w:i/>
          <w:sz w:val="24"/>
          <w:szCs w:val="24"/>
        </w:rPr>
      </w:pPr>
      <w:r w:rsidRPr="00AF3372">
        <w:rPr>
          <w:rFonts w:ascii="Palatino Linotype" w:hAnsi="Palatino Linotype" w:cs="Arial"/>
          <w:i/>
          <w:sz w:val="24"/>
          <w:szCs w:val="24"/>
        </w:rPr>
        <w:t xml:space="preserve">                                                                                   </w:t>
      </w:r>
      <w:r>
        <w:rPr>
          <w:rFonts w:ascii="Palatino Linotype" w:hAnsi="Palatino Linotype" w:cs="Arial"/>
          <w:i/>
          <w:sz w:val="24"/>
          <w:szCs w:val="24"/>
        </w:rPr>
        <w:t xml:space="preserve">                   </w:t>
      </w:r>
      <w:r w:rsidRPr="00AF3372">
        <w:rPr>
          <w:rFonts w:ascii="Palatino Linotype" w:hAnsi="Palatino Linotype" w:cs="Arial"/>
          <w:i/>
          <w:sz w:val="24"/>
          <w:szCs w:val="24"/>
        </w:rPr>
        <w:t xml:space="preserve"> </w:t>
      </w:r>
      <w:r w:rsidRPr="00AF3372">
        <w:rPr>
          <w:rFonts w:ascii="Palatino Linotype" w:hAnsi="Palatino Linotype" w:cs="Arial"/>
          <w:b/>
          <w:i/>
          <w:sz w:val="24"/>
          <w:szCs w:val="24"/>
        </w:rPr>
        <w:t>ΕΚ ΤΗΣ ΔΙΟΙΚΗΣΕΩΣ</w:t>
      </w:r>
    </w:p>
    <w:p w:rsidR="006345B7" w:rsidRDefault="006F0F95" w:rsidP="00F243F2">
      <w:pPr>
        <w:spacing w:after="120" w:line="260" w:lineRule="exact"/>
        <w:jc w:val="both"/>
        <w:rPr>
          <w:rFonts w:ascii="Sylfaen" w:hAnsi="Sylfaen"/>
        </w:rPr>
      </w:pPr>
      <w:r>
        <w:rPr>
          <w:rFonts w:ascii="Bookman Old Style" w:hAnsi="Bookman Old Style"/>
          <w:noProof/>
          <w:lang w:eastAsia="el-GR"/>
        </w:rPr>
        <mc:AlternateContent>
          <mc:Choice Requires="wps">
            <w:drawing>
              <wp:anchor distT="4294967295" distB="4294967295" distL="114300" distR="114300" simplePos="0" relativeHeight="251662336" behindDoc="0" locked="0" layoutInCell="1" allowOverlap="1">
                <wp:simplePos x="0" y="0"/>
                <wp:positionH relativeFrom="margin">
                  <wp:posOffset>28575</wp:posOffset>
                </wp:positionH>
                <wp:positionV relativeFrom="paragraph">
                  <wp:posOffset>193039</wp:posOffset>
                </wp:positionV>
                <wp:extent cx="5667375" cy="0"/>
                <wp:effectExtent l="0" t="0" r="9525" b="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95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29B6B4" id="Ευθεία γραμμή σύνδεσης 3"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5pt,15.2pt" to="44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" strokecolor="#950000" strokeweight="1.5pt">
                <w10:wrap anchorx="margin"/>
              </v:line>
            </w:pict>
          </mc:Fallback>
        </mc:AlternateContent>
      </w:r>
    </w:p>
    <w:p w:rsidR="00B0084E" w:rsidRPr="00894EB9" w:rsidRDefault="006345B7" w:rsidP="006345B7">
      <w:pPr>
        <w:spacing w:line="340" w:lineRule="exact"/>
        <w:jc w:val="center"/>
        <w:rPr>
          <w:rFonts w:ascii="Sylfaen" w:hAnsi="Sylfaen"/>
        </w:rPr>
      </w:pPr>
      <w:r>
        <w:rPr>
          <w:rFonts w:ascii="Bookman Old Style" w:hAnsi="Bookman Old Style"/>
        </w:rPr>
        <w:t>ΑΚΑΔΗΜΙΑΣ 40, ΑΘΗΝΑ, 101 74</w:t>
      </w:r>
    </w:p>
    <w:sectPr w:rsidR="00B0084E" w:rsidRPr="00894EB9" w:rsidSect="00AF3372">
      <w:pgSz w:w="11906" w:h="16838"/>
      <w:pgMar w:top="568"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A1"/>
    <w:family w:val="roman"/>
    <w:pitch w:val="variable"/>
    <w:sig w:usb0="04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5AC"/>
    <w:multiLevelType w:val="hybridMultilevel"/>
    <w:tmpl w:val="F88A4EBA"/>
    <w:lvl w:ilvl="0" w:tplc="4EA8F854">
      <w:numFmt w:val="bullet"/>
      <w:lvlText w:val="•"/>
      <w:lvlJc w:val="left"/>
      <w:pPr>
        <w:ind w:left="720" w:hanging="360"/>
      </w:pPr>
      <w:rPr>
        <w:rFonts w:ascii="Sylfaen" w:eastAsiaTheme="minorHAnsi" w:hAnsi="Sylfaen"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AD149E"/>
    <w:multiLevelType w:val="hybridMultilevel"/>
    <w:tmpl w:val="70D046F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0A61E3"/>
    <w:multiLevelType w:val="hybridMultilevel"/>
    <w:tmpl w:val="0B6CAD12"/>
    <w:lvl w:ilvl="0" w:tplc="52F4F0D8">
      <w:start w:val="1"/>
      <w:numFmt w:val="bullet"/>
      <w:lvlText w:val=""/>
      <w:lvlJc w:val="left"/>
      <w:pPr>
        <w:tabs>
          <w:tab w:val="num" w:pos="795"/>
        </w:tabs>
        <w:ind w:left="795" w:hanging="360"/>
      </w:pPr>
      <w:rPr>
        <w:rFonts w:ascii="Symbol" w:hAnsi="Symbol" w:hint="default"/>
        <w:color w:val="auto"/>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365C2EA3"/>
    <w:multiLevelType w:val="hybridMultilevel"/>
    <w:tmpl w:val="D7E64B68"/>
    <w:lvl w:ilvl="0" w:tplc="04080005">
      <w:start w:val="1"/>
      <w:numFmt w:val="bullet"/>
      <w:lvlText w:val=""/>
      <w:lvlJc w:val="left"/>
      <w:pPr>
        <w:ind w:left="360" w:hanging="360"/>
      </w:pPr>
      <w:rPr>
        <w:rFonts w:ascii="Wingdings" w:hAnsi="Wingdings" w:hint="default"/>
      </w:rPr>
    </w:lvl>
    <w:lvl w:ilvl="1" w:tplc="52F4F0D8">
      <w:start w:val="1"/>
      <w:numFmt w:val="bullet"/>
      <w:lvlText w:val=""/>
      <w:lvlJc w:val="left"/>
      <w:pPr>
        <w:tabs>
          <w:tab w:val="num" w:pos="1080"/>
        </w:tabs>
        <w:ind w:left="1080" w:hanging="360"/>
      </w:pPr>
      <w:rPr>
        <w:rFonts w:ascii="Symbol" w:hAnsi="Symbol" w:hint="default"/>
        <w:color w:val="auto"/>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569582E"/>
    <w:multiLevelType w:val="hybridMultilevel"/>
    <w:tmpl w:val="26B8C44E"/>
    <w:lvl w:ilvl="0" w:tplc="0408000B">
      <w:start w:val="1"/>
      <w:numFmt w:val="bullet"/>
      <w:lvlText w:val=""/>
      <w:lvlJc w:val="left"/>
      <w:pPr>
        <w:ind w:left="360" w:hanging="360"/>
      </w:pPr>
      <w:rPr>
        <w:rFonts w:ascii="Wingdings" w:hAnsi="Wingdings" w:hint="default"/>
      </w:rPr>
    </w:lvl>
    <w:lvl w:ilvl="1" w:tplc="0408000B">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7244FDC"/>
    <w:multiLevelType w:val="hybridMultilevel"/>
    <w:tmpl w:val="356600F2"/>
    <w:lvl w:ilvl="0" w:tplc="4EA8F854">
      <w:numFmt w:val="bullet"/>
      <w:lvlText w:val="•"/>
      <w:lvlJc w:val="left"/>
      <w:pPr>
        <w:ind w:left="720" w:hanging="360"/>
      </w:pPr>
      <w:rPr>
        <w:rFonts w:ascii="Sylfaen" w:eastAsiaTheme="minorHAnsi" w:hAnsi="Sylfaen"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FA04DF2"/>
    <w:multiLevelType w:val="hybridMultilevel"/>
    <w:tmpl w:val="1CD2FBF8"/>
    <w:lvl w:ilvl="0" w:tplc="0408000D">
      <w:start w:val="1"/>
      <w:numFmt w:val="bullet"/>
      <w:lvlText w:val=""/>
      <w:lvlJc w:val="left"/>
      <w:pPr>
        <w:ind w:left="780" w:hanging="360"/>
      </w:pPr>
      <w:rPr>
        <w:rFonts w:ascii="Wingdings" w:hAnsi="Wingdings" w:hint="default"/>
      </w:rPr>
    </w:lvl>
    <w:lvl w:ilvl="1" w:tplc="E3468242">
      <w:numFmt w:val="bullet"/>
      <w:lvlText w:val=""/>
      <w:lvlJc w:val="left"/>
      <w:pPr>
        <w:ind w:left="1560" w:hanging="420"/>
      </w:pPr>
      <w:rPr>
        <w:rFonts w:ascii="Symbol" w:eastAsia="Times New Roman" w:hAnsi="Symbol" w:cs="Times New Roman"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7C994F00"/>
    <w:multiLevelType w:val="hybridMultilevel"/>
    <w:tmpl w:val="ED1A8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D614690"/>
    <w:multiLevelType w:val="hybridMultilevel"/>
    <w:tmpl w:val="797C169A"/>
    <w:lvl w:ilvl="0" w:tplc="1A7C4CEC">
      <w:start w:val="1"/>
      <w:numFmt w:val="bullet"/>
      <w:lvlText w:val=""/>
      <w:lvlJc w:val="left"/>
      <w:pPr>
        <w:tabs>
          <w:tab w:val="num" w:pos="720"/>
        </w:tabs>
        <w:ind w:left="720" w:hanging="360"/>
      </w:pPr>
      <w:rPr>
        <w:rFonts w:ascii="Wingdings" w:hAnsi="Wingdings" w:hint="default"/>
      </w:rPr>
    </w:lvl>
    <w:lvl w:ilvl="1" w:tplc="602CD3BE">
      <w:start w:val="1"/>
      <w:numFmt w:val="bullet"/>
      <w:lvlText w:val=""/>
      <w:lvlJc w:val="left"/>
      <w:pPr>
        <w:tabs>
          <w:tab w:val="num" w:pos="1440"/>
        </w:tabs>
        <w:ind w:left="1440" w:hanging="360"/>
      </w:pPr>
      <w:rPr>
        <w:rFonts w:ascii="Wingdings" w:hAnsi="Wingdings" w:hint="default"/>
      </w:rPr>
    </w:lvl>
    <w:lvl w:ilvl="2" w:tplc="C21C4C9E" w:tentative="1">
      <w:start w:val="1"/>
      <w:numFmt w:val="bullet"/>
      <w:lvlText w:val=""/>
      <w:lvlJc w:val="left"/>
      <w:pPr>
        <w:tabs>
          <w:tab w:val="num" w:pos="2160"/>
        </w:tabs>
        <w:ind w:left="2160" w:hanging="360"/>
      </w:pPr>
      <w:rPr>
        <w:rFonts w:ascii="Wingdings" w:hAnsi="Wingdings" w:hint="default"/>
      </w:rPr>
    </w:lvl>
    <w:lvl w:ilvl="3" w:tplc="B076490C" w:tentative="1">
      <w:start w:val="1"/>
      <w:numFmt w:val="bullet"/>
      <w:lvlText w:val=""/>
      <w:lvlJc w:val="left"/>
      <w:pPr>
        <w:tabs>
          <w:tab w:val="num" w:pos="2880"/>
        </w:tabs>
        <w:ind w:left="2880" w:hanging="360"/>
      </w:pPr>
      <w:rPr>
        <w:rFonts w:ascii="Wingdings" w:hAnsi="Wingdings" w:hint="default"/>
      </w:rPr>
    </w:lvl>
    <w:lvl w:ilvl="4" w:tplc="D914525A" w:tentative="1">
      <w:start w:val="1"/>
      <w:numFmt w:val="bullet"/>
      <w:lvlText w:val=""/>
      <w:lvlJc w:val="left"/>
      <w:pPr>
        <w:tabs>
          <w:tab w:val="num" w:pos="3600"/>
        </w:tabs>
        <w:ind w:left="3600" w:hanging="360"/>
      </w:pPr>
      <w:rPr>
        <w:rFonts w:ascii="Wingdings" w:hAnsi="Wingdings" w:hint="default"/>
      </w:rPr>
    </w:lvl>
    <w:lvl w:ilvl="5" w:tplc="D4AA059C" w:tentative="1">
      <w:start w:val="1"/>
      <w:numFmt w:val="bullet"/>
      <w:lvlText w:val=""/>
      <w:lvlJc w:val="left"/>
      <w:pPr>
        <w:tabs>
          <w:tab w:val="num" w:pos="4320"/>
        </w:tabs>
        <w:ind w:left="4320" w:hanging="360"/>
      </w:pPr>
      <w:rPr>
        <w:rFonts w:ascii="Wingdings" w:hAnsi="Wingdings" w:hint="default"/>
      </w:rPr>
    </w:lvl>
    <w:lvl w:ilvl="6" w:tplc="A1A6FC92" w:tentative="1">
      <w:start w:val="1"/>
      <w:numFmt w:val="bullet"/>
      <w:lvlText w:val=""/>
      <w:lvlJc w:val="left"/>
      <w:pPr>
        <w:tabs>
          <w:tab w:val="num" w:pos="5040"/>
        </w:tabs>
        <w:ind w:left="5040" w:hanging="360"/>
      </w:pPr>
      <w:rPr>
        <w:rFonts w:ascii="Wingdings" w:hAnsi="Wingdings" w:hint="default"/>
      </w:rPr>
    </w:lvl>
    <w:lvl w:ilvl="7" w:tplc="F5824064" w:tentative="1">
      <w:start w:val="1"/>
      <w:numFmt w:val="bullet"/>
      <w:lvlText w:val=""/>
      <w:lvlJc w:val="left"/>
      <w:pPr>
        <w:tabs>
          <w:tab w:val="num" w:pos="5760"/>
        </w:tabs>
        <w:ind w:left="5760" w:hanging="360"/>
      </w:pPr>
      <w:rPr>
        <w:rFonts w:ascii="Wingdings" w:hAnsi="Wingdings" w:hint="default"/>
      </w:rPr>
    </w:lvl>
    <w:lvl w:ilvl="8" w:tplc="A2401D6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B9"/>
    <w:rsid w:val="00044D06"/>
    <w:rsid w:val="000852C2"/>
    <w:rsid w:val="000F0E6A"/>
    <w:rsid w:val="00111D6F"/>
    <w:rsid w:val="00132700"/>
    <w:rsid w:val="001578F4"/>
    <w:rsid w:val="00181CFA"/>
    <w:rsid w:val="001E48B1"/>
    <w:rsid w:val="002C6E5D"/>
    <w:rsid w:val="00415088"/>
    <w:rsid w:val="00421621"/>
    <w:rsid w:val="005C5C5E"/>
    <w:rsid w:val="005E3D28"/>
    <w:rsid w:val="00626FE1"/>
    <w:rsid w:val="006345B7"/>
    <w:rsid w:val="00651A28"/>
    <w:rsid w:val="00674439"/>
    <w:rsid w:val="006959DC"/>
    <w:rsid w:val="006F0F95"/>
    <w:rsid w:val="00785380"/>
    <w:rsid w:val="00786067"/>
    <w:rsid w:val="007C6324"/>
    <w:rsid w:val="008105DF"/>
    <w:rsid w:val="00853B1F"/>
    <w:rsid w:val="00856E90"/>
    <w:rsid w:val="008822F8"/>
    <w:rsid w:val="00894EB9"/>
    <w:rsid w:val="008A3137"/>
    <w:rsid w:val="008A4EA8"/>
    <w:rsid w:val="00A24C24"/>
    <w:rsid w:val="00A37B41"/>
    <w:rsid w:val="00A37CBA"/>
    <w:rsid w:val="00AA3879"/>
    <w:rsid w:val="00AF3372"/>
    <w:rsid w:val="00B0084E"/>
    <w:rsid w:val="00B16968"/>
    <w:rsid w:val="00B710E6"/>
    <w:rsid w:val="00BE1941"/>
    <w:rsid w:val="00C51A1E"/>
    <w:rsid w:val="00CD2604"/>
    <w:rsid w:val="00DB4D9F"/>
    <w:rsid w:val="00DC5E44"/>
    <w:rsid w:val="00E15695"/>
    <w:rsid w:val="00EB2A4B"/>
    <w:rsid w:val="00EE6654"/>
    <w:rsid w:val="00F24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B1500-C76C-4460-A501-EFE26FD9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654"/>
    <w:pPr>
      <w:ind w:left="720"/>
      <w:contextualSpacing/>
    </w:pPr>
  </w:style>
  <w:style w:type="paragraph" w:styleId="a4">
    <w:name w:val="Balloon Text"/>
    <w:basedOn w:val="a"/>
    <w:link w:val="Char"/>
    <w:uiPriority w:val="99"/>
    <w:semiHidden/>
    <w:unhideWhenUsed/>
    <w:rsid w:val="001578F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578F4"/>
    <w:rPr>
      <w:rFonts w:ascii="Segoe UI" w:hAnsi="Segoe UI" w:cs="Segoe UI"/>
      <w:sz w:val="18"/>
      <w:szCs w:val="18"/>
    </w:rPr>
  </w:style>
  <w:style w:type="paragraph" w:customStyle="1" w:styleId="m-8814725836453611297gmail-msolistparagraph">
    <w:name w:val="m_-8814725836453611297gmail-msolistparagraph"/>
    <w:basedOn w:val="a"/>
    <w:rsid w:val="00B16968"/>
    <w:pPr>
      <w:spacing w:after="0" w:line="240" w:lineRule="auto"/>
    </w:pPr>
    <w:rPr>
      <w:rFonts w:ascii="Times New Roman" w:eastAsia="Times New Roman" w:hAnsi="Times New Roman" w:cs="Times New Roman"/>
      <w:sz w:val="24"/>
      <w:szCs w:val="24"/>
      <w:lang w:eastAsia="el-GR"/>
    </w:rPr>
  </w:style>
  <w:style w:type="paragraph" w:customStyle="1" w:styleId="m-8814725836453611297gmail-msolistparagraphcxspmiddle">
    <w:name w:val="m_-8814725836453611297gmail-msolistparagraphcxspmiddle"/>
    <w:basedOn w:val="a"/>
    <w:rsid w:val="00B16968"/>
    <w:pPr>
      <w:spacing w:after="0" w:line="240" w:lineRule="auto"/>
    </w:pPr>
    <w:rPr>
      <w:rFonts w:ascii="Times New Roman" w:eastAsia="Times New Roman" w:hAnsi="Times New Roman" w:cs="Times New Roman"/>
      <w:sz w:val="24"/>
      <w:szCs w:val="24"/>
      <w:lang w:eastAsia="el-GR"/>
    </w:rPr>
  </w:style>
  <w:style w:type="paragraph" w:customStyle="1" w:styleId="m-8814725836453611297gmail-msolistparagraphcxsplast">
    <w:name w:val="m_-8814725836453611297gmail-msolistparagraphcxsplast"/>
    <w:basedOn w:val="a"/>
    <w:rsid w:val="00B16968"/>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ΚΑΝΙΟΥ</dc:creator>
  <cp:lastModifiedBy>User</cp:lastModifiedBy>
  <cp:revision>2</cp:revision>
  <cp:lastPrinted>2018-01-16T13:13:00Z</cp:lastPrinted>
  <dcterms:created xsi:type="dcterms:W3CDTF">2020-03-16T10:54:00Z</dcterms:created>
  <dcterms:modified xsi:type="dcterms:W3CDTF">2020-03-16T10:54:00Z</dcterms:modified>
</cp:coreProperties>
</file>