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2E" w:rsidRPr="00497726" w:rsidRDefault="00DE3C2E" w:rsidP="00DE3C2E">
      <w:pPr>
        <w:pStyle w:val="a4"/>
        <w:rPr>
          <w:rFonts w:ascii="Verdana" w:hAnsi="Verdana"/>
          <w:b/>
        </w:rPr>
      </w:pPr>
      <w:r w:rsidRPr="00497726">
        <w:rPr>
          <w:rFonts w:ascii="Verdana" w:hAnsi="Verdana"/>
          <w:b/>
        </w:rPr>
        <w:t>ΟΛΟΜΕΛΕΙΑ ΠΡΟΕΔΡΩΝ</w:t>
      </w:r>
    </w:p>
    <w:p w:rsidR="00DE3C2E" w:rsidRPr="00497726" w:rsidRDefault="00DE3C2E" w:rsidP="00DE3C2E">
      <w:pPr>
        <w:pStyle w:val="a4"/>
        <w:rPr>
          <w:rFonts w:ascii="Verdana" w:hAnsi="Verdana"/>
          <w:b/>
        </w:rPr>
      </w:pPr>
      <w:r w:rsidRPr="00497726">
        <w:rPr>
          <w:rFonts w:ascii="Verdana" w:hAnsi="Verdana"/>
          <w:b/>
        </w:rPr>
        <w:t xml:space="preserve">ΔΙΚΗΓΟΡΙΚΩΝ ΣΥΛΛΟΓΩΝ ΕΛΛΑΔΟΣ </w:t>
      </w:r>
      <w:r w:rsidRPr="00497726">
        <w:rPr>
          <w:rFonts w:ascii="Verdana" w:hAnsi="Verdana"/>
          <w:b/>
        </w:rPr>
        <w:tab/>
      </w:r>
      <w:r w:rsidRPr="00497726">
        <w:rPr>
          <w:rFonts w:ascii="Verdana" w:hAnsi="Verdana"/>
          <w:b/>
        </w:rPr>
        <w:tab/>
      </w:r>
      <w:r w:rsidRPr="00497726">
        <w:rPr>
          <w:rFonts w:ascii="Verdana" w:hAnsi="Verdana"/>
          <w:b/>
        </w:rPr>
        <w:tab/>
      </w:r>
      <w:r w:rsidRPr="00497726">
        <w:rPr>
          <w:rFonts w:ascii="Verdana" w:hAnsi="Verdana"/>
          <w:b/>
        </w:rPr>
        <w:tab/>
        <w:t>Αθήνα, 21.7.2015</w:t>
      </w:r>
    </w:p>
    <w:p w:rsidR="00DE3C2E" w:rsidRPr="00497726" w:rsidRDefault="00DE3C2E" w:rsidP="00DE3C2E">
      <w:pPr>
        <w:pStyle w:val="a4"/>
        <w:jc w:val="center"/>
        <w:rPr>
          <w:rFonts w:ascii="Verdana" w:hAnsi="Verdana"/>
        </w:rPr>
      </w:pPr>
    </w:p>
    <w:p w:rsidR="00DE3C2E" w:rsidRDefault="00DE3C2E" w:rsidP="00DE3C2E">
      <w:pPr>
        <w:pStyle w:val="a4"/>
        <w:jc w:val="center"/>
        <w:rPr>
          <w:rFonts w:ascii="Verdana" w:hAnsi="Verdana"/>
        </w:rPr>
      </w:pPr>
    </w:p>
    <w:p w:rsidR="00497726" w:rsidRPr="00497726" w:rsidRDefault="00497726" w:rsidP="00DE3C2E">
      <w:pPr>
        <w:pStyle w:val="a4"/>
        <w:jc w:val="center"/>
        <w:rPr>
          <w:rFonts w:ascii="Verdana" w:hAnsi="Verdana"/>
        </w:rPr>
      </w:pPr>
    </w:p>
    <w:p w:rsidR="00DE3C2E" w:rsidRPr="00497726" w:rsidRDefault="00DE3C2E" w:rsidP="00DE3C2E">
      <w:pPr>
        <w:pStyle w:val="a4"/>
        <w:jc w:val="center"/>
        <w:rPr>
          <w:rFonts w:ascii="Verdana" w:eastAsia="Verdana Bold" w:hAnsi="Verdana" w:cs="Verdana Bold"/>
          <w:b/>
          <w:u w:val="single"/>
        </w:rPr>
      </w:pPr>
      <w:r w:rsidRPr="00497726">
        <w:rPr>
          <w:rFonts w:ascii="Verdana" w:hAnsi="Verdana"/>
          <w:b/>
          <w:u w:val="single"/>
        </w:rPr>
        <w:t xml:space="preserve">Νομοτεχνικές Επισημάνσεις </w:t>
      </w:r>
    </w:p>
    <w:p w:rsidR="00DE3C2E" w:rsidRPr="00497726" w:rsidRDefault="00DE3C2E" w:rsidP="00DE3C2E">
      <w:pPr>
        <w:pStyle w:val="a4"/>
        <w:jc w:val="center"/>
        <w:rPr>
          <w:rFonts w:ascii="Verdana" w:eastAsia="Verdana Bold" w:hAnsi="Verdana" w:cs="Verdana Bold"/>
        </w:rPr>
      </w:pPr>
    </w:p>
    <w:p w:rsidR="00DE3C2E" w:rsidRPr="00497726" w:rsidRDefault="00DE3C2E" w:rsidP="00DE3C2E">
      <w:pPr>
        <w:pStyle w:val="a4"/>
        <w:jc w:val="both"/>
        <w:rPr>
          <w:rFonts w:ascii="Verdana" w:eastAsia="Verdana Bold" w:hAnsi="Verdana" w:cs="Verdana Bold"/>
          <w:b/>
        </w:rPr>
      </w:pPr>
      <w:r w:rsidRPr="00497726">
        <w:rPr>
          <w:rFonts w:ascii="Verdana" w:hAnsi="Verdana"/>
          <w:b/>
        </w:rPr>
        <w:t>Α. Επί της αιτιολογικής έκθεσης</w:t>
      </w:r>
    </w:p>
    <w:p w:rsidR="00DE3C2E" w:rsidRPr="00497726" w:rsidRDefault="00DE3C2E" w:rsidP="00DE3C2E">
      <w:pPr>
        <w:pStyle w:val="a4"/>
        <w:numPr>
          <w:ilvl w:val="0"/>
          <w:numId w:val="2"/>
        </w:numPr>
        <w:jc w:val="both"/>
        <w:rPr>
          <w:rFonts w:ascii="Verdana" w:eastAsia="Verdana Bold" w:hAnsi="Verdana" w:cs="Verdana Bold"/>
        </w:rPr>
      </w:pPr>
      <w:r w:rsidRPr="00497726">
        <w:rPr>
          <w:rFonts w:ascii="Verdana" w:hAnsi="Verdana"/>
        </w:rPr>
        <w:t>Στο "διαδικαστικό ιστορικό" αγνοείται πλήρως η Νομοπαρασκευαστική</w:t>
      </w:r>
      <w:r w:rsidR="00681567" w:rsidRPr="00681567">
        <w:rPr>
          <w:rFonts w:ascii="Verdana" w:hAnsi="Verdana"/>
        </w:rPr>
        <w:t xml:space="preserve"> </w:t>
      </w:r>
      <w:r w:rsidRPr="00497726">
        <w:rPr>
          <w:rFonts w:ascii="Verdana" w:hAnsi="Verdana"/>
        </w:rPr>
        <w:t>Επιτροπή που συνεστήθη με Υ.Α. (δημοσιευθείσα στο ΦΕΚ) του Υπουργού Δικαιοσύνης κ. Ν. Παρασκευόπουλου (που υπογράφει την παρούσα έκθεση</w:t>
      </w:r>
      <w:r w:rsidR="00681567">
        <w:rPr>
          <w:rFonts w:ascii="Verdana" w:hAnsi="Verdana"/>
          <w:lang w:val="en-US"/>
        </w:rPr>
        <w:t>)</w:t>
      </w:r>
      <w:r w:rsidRPr="00497726">
        <w:rPr>
          <w:rFonts w:ascii="Verdana" w:hAnsi="Verdana"/>
        </w:rPr>
        <w:t xml:space="preserve"> και με προεδρεύοντα αυτής τον Αρεοπαγίτη κ. Κράνη. Επίσης αγνοείται και δεν λαμβάνεται υπόψη το έργο της εν λόγω Επιτροπής και συγκεκριμένα το πλήρες σχέδιο </w:t>
      </w:r>
      <w:proofErr w:type="spellStart"/>
      <w:r w:rsidRPr="00497726">
        <w:rPr>
          <w:rFonts w:ascii="Verdana" w:hAnsi="Verdana"/>
        </w:rPr>
        <w:t>ΚΠολΔ</w:t>
      </w:r>
      <w:proofErr w:type="spellEnd"/>
      <w:r w:rsidRPr="00497726">
        <w:rPr>
          <w:rFonts w:ascii="Verdana" w:hAnsi="Verdana"/>
        </w:rPr>
        <w:t>, συνοδευόμενο από τη σχετική αιτιολογική έκθεση που υπέβαλε ο προεδρεύων αρεοπαγίτης στον Υπουργό Δικαιοσύνης.</w:t>
      </w:r>
    </w:p>
    <w:p w:rsidR="00DE3C2E" w:rsidRPr="00497726" w:rsidRDefault="00DE3C2E" w:rsidP="00DE3C2E">
      <w:pPr>
        <w:pStyle w:val="a4"/>
        <w:numPr>
          <w:ilvl w:val="0"/>
          <w:numId w:val="2"/>
        </w:numPr>
        <w:jc w:val="both"/>
        <w:rPr>
          <w:rFonts w:ascii="Verdana" w:eastAsia="Verdana Bold" w:hAnsi="Verdana" w:cs="Verdana Bold"/>
        </w:rPr>
      </w:pPr>
      <w:r w:rsidRPr="00497726">
        <w:rPr>
          <w:rFonts w:ascii="Verdana" w:hAnsi="Verdana"/>
        </w:rPr>
        <w:t>Περαιτέρω, για σειρά διατάξεων, των οποίων προτείνεται η τροποποίηση ή η αντικατάσταση, δεν απαντά οιαδήποτε αιτιολογική σκέψη. Πλέον συγκεκριμένα, πρόκειται για τις διατάξεις των άρθρων 58, 126, 143, 207 παρ. 2, 230, 318, 398, 466, 469, 502, 512, 700, 804, 966, 971, 966, 971, 979, 988, 998, 1011 και 1021.</w:t>
      </w:r>
    </w:p>
    <w:p w:rsidR="00DE3C2E" w:rsidRPr="00497726" w:rsidRDefault="00DE3C2E" w:rsidP="00DE3C2E">
      <w:pPr>
        <w:pStyle w:val="a4"/>
        <w:jc w:val="both"/>
        <w:rPr>
          <w:rFonts w:ascii="Verdana" w:eastAsia="Verdana Bold" w:hAnsi="Verdana" w:cs="Verdana Bold"/>
        </w:rPr>
      </w:pPr>
    </w:p>
    <w:p w:rsidR="00DE3C2E" w:rsidRPr="00497726" w:rsidRDefault="00DE3C2E" w:rsidP="00DE3C2E">
      <w:pPr>
        <w:pStyle w:val="a4"/>
        <w:jc w:val="both"/>
        <w:rPr>
          <w:rFonts w:ascii="Verdana" w:eastAsia="Verdana Bold" w:hAnsi="Verdana" w:cs="Verdana Bold"/>
          <w:b/>
        </w:rPr>
      </w:pPr>
      <w:r w:rsidRPr="00497726">
        <w:rPr>
          <w:rFonts w:ascii="Verdana" w:hAnsi="Verdana"/>
          <w:b/>
        </w:rPr>
        <w:t>Β. Επί των προτεινόμενων διατάξεων</w:t>
      </w:r>
    </w:p>
    <w:p w:rsidR="00DE3C2E" w:rsidRPr="00497726" w:rsidRDefault="00DE3C2E" w:rsidP="00DE3C2E">
      <w:pPr>
        <w:pStyle w:val="a4"/>
        <w:jc w:val="both"/>
        <w:rPr>
          <w:rFonts w:ascii="Verdana" w:hAnsi="Verdana"/>
        </w:rPr>
      </w:pPr>
      <w:r w:rsidRPr="00497726">
        <w:rPr>
          <w:rFonts w:ascii="Verdana" w:hAnsi="Verdana"/>
        </w:rPr>
        <w:t xml:space="preserve">Στη Βουλή </w:t>
      </w:r>
      <w:proofErr w:type="spellStart"/>
      <w:r w:rsidRPr="00497726">
        <w:rPr>
          <w:rFonts w:ascii="Verdana" w:hAnsi="Verdana"/>
        </w:rPr>
        <w:t>κατατέθησαν</w:t>
      </w:r>
      <w:proofErr w:type="spellEnd"/>
      <w:r w:rsidRPr="00497726">
        <w:rPr>
          <w:rFonts w:ascii="Verdana" w:hAnsi="Verdana"/>
        </w:rPr>
        <w:t xml:space="preserve"> ουσιαστικά δύο σχέδια: α) </w:t>
      </w:r>
      <w:r w:rsidR="00497726">
        <w:rPr>
          <w:rFonts w:ascii="Verdana" w:hAnsi="Verdana"/>
        </w:rPr>
        <w:t>Έ</w:t>
      </w:r>
      <w:r w:rsidRPr="00497726">
        <w:rPr>
          <w:rFonts w:ascii="Verdana" w:hAnsi="Verdana"/>
        </w:rPr>
        <w:t xml:space="preserve">να </w:t>
      </w:r>
      <w:r w:rsidRPr="00497726">
        <w:rPr>
          <w:rFonts w:ascii="Verdana" w:hAnsi="Verdana"/>
          <w:lang w:val="en-US"/>
        </w:rPr>
        <w:t>Corpus</w:t>
      </w:r>
      <w:r w:rsidRPr="00497726">
        <w:rPr>
          <w:rFonts w:ascii="Verdana" w:hAnsi="Verdana"/>
        </w:rPr>
        <w:t xml:space="preserve"> του συνόλου των διατάξεων του </w:t>
      </w:r>
      <w:proofErr w:type="spellStart"/>
      <w:r w:rsidRPr="00497726">
        <w:rPr>
          <w:rFonts w:ascii="Verdana" w:hAnsi="Verdana"/>
        </w:rPr>
        <w:t>ΚΠολΔ</w:t>
      </w:r>
      <w:proofErr w:type="spellEnd"/>
      <w:r w:rsidRPr="00497726">
        <w:rPr>
          <w:rFonts w:ascii="Verdana" w:hAnsi="Verdana"/>
        </w:rPr>
        <w:t xml:space="preserve"> που φέρει τον τίτλο "</w:t>
      </w:r>
      <w:r w:rsidR="00497726">
        <w:rPr>
          <w:rFonts w:ascii="Verdana" w:hAnsi="Verdana"/>
        </w:rPr>
        <w:t>Ά</w:t>
      </w:r>
      <w:r w:rsidRPr="00497726">
        <w:rPr>
          <w:rFonts w:ascii="Verdana" w:hAnsi="Verdana"/>
        </w:rPr>
        <w:t xml:space="preserve">ρθρο 1, Μέρος πρώτο, Παράγραφος Α: τροποποιήσεις στον </w:t>
      </w:r>
      <w:proofErr w:type="spellStart"/>
      <w:r w:rsidRPr="00497726">
        <w:rPr>
          <w:rFonts w:ascii="Verdana" w:hAnsi="Verdana"/>
        </w:rPr>
        <w:t>ΚΠολΔ</w:t>
      </w:r>
      <w:proofErr w:type="spellEnd"/>
      <w:r w:rsidRPr="00497726">
        <w:rPr>
          <w:rFonts w:ascii="Verdana" w:hAnsi="Verdana"/>
        </w:rPr>
        <w:t>". β) Σχέδιο νόμου που φέρει τον τίτλο "</w:t>
      </w:r>
      <w:proofErr w:type="spellStart"/>
      <w:r w:rsidRPr="00497726">
        <w:rPr>
          <w:rFonts w:ascii="Verdana" w:hAnsi="Verdana"/>
        </w:rPr>
        <w:t>Αρθρο</w:t>
      </w:r>
      <w:proofErr w:type="spellEnd"/>
      <w:r w:rsidRPr="00497726">
        <w:rPr>
          <w:rFonts w:ascii="Verdana" w:hAnsi="Verdana"/>
        </w:rPr>
        <w:t xml:space="preserve"> 1, τροποποιήσεις στον </w:t>
      </w:r>
      <w:proofErr w:type="spellStart"/>
      <w:r w:rsidRPr="00497726">
        <w:rPr>
          <w:rFonts w:ascii="Verdana" w:hAnsi="Verdana"/>
        </w:rPr>
        <w:t>ΚΠολΔ</w:t>
      </w:r>
      <w:proofErr w:type="spellEnd"/>
      <w:r w:rsidRPr="00497726">
        <w:rPr>
          <w:rFonts w:ascii="Verdana" w:hAnsi="Verdana"/>
        </w:rPr>
        <w:t xml:space="preserve">". Από την αντιπαραβολή αυτών προκύπτει </w:t>
      </w:r>
      <w:r w:rsidR="00497726">
        <w:rPr>
          <w:rFonts w:ascii="Verdana" w:hAnsi="Verdana"/>
        </w:rPr>
        <w:t>ό</w:t>
      </w:r>
      <w:r w:rsidRPr="00497726">
        <w:rPr>
          <w:rFonts w:ascii="Verdana" w:hAnsi="Verdana"/>
        </w:rPr>
        <w:t xml:space="preserve">τι υφίστανται μεταξύ τους σημαντικές διαφορές στο περιεχόμενο ουσιωδών διατάξεων που προτείνονται για τροποποίηση ή αντικατάσταση με τα ανωτέρω δυο σχέδια. Συγκεκριμένα: </w:t>
      </w:r>
    </w:p>
    <w:p w:rsidR="00DE3C2E" w:rsidRPr="00497726" w:rsidRDefault="00DE3C2E">
      <w:pPr>
        <w:pStyle w:val="a4"/>
        <w:jc w:val="both"/>
        <w:rPr>
          <w:rFonts w:ascii="Verdana" w:hAnsi="Verdana"/>
          <w:b/>
          <w:u w:val="single"/>
        </w:rPr>
      </w:pPr>
    </w:p>
    <w:p w:rsidR="00DE3C2E" w:rsidRDefault="00DE3C2E">
      <w:pPr>
        <w:pStyle w:val="a4"/>
        <w:jc w:val="both"/>
        <w:rPr>
          <w:rFonts w:ascii="Verdana" w:hAnsi="Verdana"/>
          <w:b/>
          <w:u w:val="single"/>
        </w:rPr>
      </w:pPr>
    </w:p>
    <w:p w:rsidR="008068F7" w:rsidRPr="00D9010D" w:rsidRDefault="008068F7">
      <w:pPr>
        <w:pStyle w:val="a4"/>
        <w:jc w:val="both"/>
        <w:rPr>
          <w:rFonts w:ascii="Verdana" w:eastAsia="Verdana" w:hAnsi="Verdana" w:cs="Verdana"/>
          <w:u w:val="single"/>
        </w:rPr>
      </w:pPr>
    </w:p>
    <w:p w:rsidR="004C68FB" w:rsidRPr="00DE3C2E" w:rsidRDefault="00633AAC" w:rsidP="004C68FB">
      <w:pPr>
        <w:pStyle w:val="a4"/>
        <w:numPr>
          <w:ilvl w:val="1"/>
          <w:numId w:val="2"/>
        </w:numPr>
        <w:jc w:val="both"/>
        <w:rPr>
          <w:rFonts w:ascii="Verdana" w:eastAsia="Verdana" w:hAnsi="Verdana" w:cs="Verdana"/>
        </w:rPr>
      </w:pPr>
      <w:r w:rsidRPr="00DE3C2E">
        <w:rPr>
          <w:rFonts w:ascii="Verdana" w:hAnsi="Verdana"/>
          <w:b/>
        </w:rPr>
        <w:t xml:space="preserve">Άρθρο 237 παρ.4: </w:t>
      </w:r>
    </w:p>
    <w:tbl>
      <w:tblPr>
        <w:tblStyle w:val="a6"/>
        <w:tblW w:w="0" w:type="auto"/>
        <w:tblLook w:val="04A0"/>
      </w:tblPr>
      <w:tblGrid>
        <w:gridCol w:w="4927"/>
        <w:gridCol w:w="4927"/>
      </w:tblGrid>
      <w:tr w:rsidR="00E12028" w:rsidRPr="00681567" w:rsidTr="00E12028">
        <w:tc>
          <w:tcPr>
            <w:tcW w:w="4927" w:type="dxa"/>
          </w:tcPr>
          <w:p w:rsidR="00E12028" w:rsidRPr="00D9010D" w:rsidRDefault="00E12028"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D9010D">
              <w:rPr>
                <w:rFonts w:ascii="Verdana" w:eastAsia="Verdana" w:hAnsi="Verdana" w:cs="Verdana"/>
                <w:b/>
                <w:u w:val="single"/>
              </w:rPr>
              <w:t>ΣΧΕΔΙΟ</w:t>
            </w:r>
            <w:r w:rsidRPr="00D9010D">
              <w:rPr>
                <w:rFonts w:ascii="Verdana" w:eastAsia="Verdana" w:hAnsi="Verdana" w:cs="Verdana"/>
                <w:b/>
                <w:u w:val="single"/>
                <w:lang w:val="en-US"/>
              </w:rPr>
              <w:t xml:space="preserve"> </w:t>
            </w:r>
            <w:r w:rsidRPr="00D9010D">
              <w:rPr>
                <w:rFonts w:ascii="Verdana" w:eastAsia="Verdana" w:hAnsi="Verdana" w:cs="Verdana"/>
                <w:b/>
                <w:u w:val="single"/>
              </w:rPr>
              <w:t>ΝΟΜΟΥ</w:t>
            </w:r>
          </w:p>
          <w:p w:rsidR="00AD7663" w:rsidRPr="00D9010D" w:rsidRDefault="00F007E7" w:rsidP="00F007E7">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r w:rsidRPr="00D9010D">
              <w:rPr>
                <w:rFonts w:ascii="Verdana" w:eastAsia="Verdana" w:hAnsi="Verdana" w:cs="Verdana"/>
              </w:rPr>
              <w:t xml:space="preserve">4. </w:t>
            </w:r>
            <w:r w:rsidR="00AD7663" w:rsidRPr="00D9010D">
              <w:rPr>
                <w:rFonts w:ascii="Verdana" w:eastAsia="Verdana" w:hAnsi="Verdana" w:cs="Verdana"/>
              </w:rPr>
              <w:t>Μέσα σε δεκαπέντε (15) ημέρες από το κλείσιμο του φακέλου της δικογραφίας με πράξη του προέδρου του τριμελούς συμβουλίου ή του αρμοδίου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αμέσως πιο πάνω δεκαπενθήμερης προθεσμίας.</w:t>
            </w:r>
            <w:r w:rsidR="00DC1670">
              <w:rPr>
                <w:rFonts w:ascii="Verdana" w:eastAsia="Verdana" w:hAnsi="Verdana" w:cs="Verdana"/>
              </w:rPr>
              <w:t xml:space="preserve">   </w:t>
            </w:r>
            <w:r w:rsidR="00AD7663" w:rsidRPr="00D9010D">
              <w:rPr>
                <w:rFonts w:ascii="Verdana" w:eastAsia="Verdana" w:hAnsi="Verdana" w:cs="Verdana"/>
              </w:rPr>
              <w:t xml:space="preserve"> </w:t>
            </w:r>
            <w:proofErr w:type="spellStart"/>
            <w:r w:rsidR="00AD7663" w:rsidRPr="00D9010D">
              <w:rPr>
                <w:rFonts w:ascii="Verdana" w:eastAsia="Verdana" w:hAnsi="Verdana" w:cs="Verdana"/>
              </w:rPr>
              <w:t>Κατ΄εξαίρεση</w:t>
            </w:r>
            <w:proofErr w:type="spellEnd"/>
            <w:r w:rsidR="00AD7663" w:rsidRPr="00D9010D">
              <w:rPr>
                <w:rFonts w:ascii="Verdana" w:eastAsia="Verdana" w:hAnsi="Verdana" w:cs="Verdana"/>
              </w:rPr>
              <w:t>, αν ο προβλεπόμενος από τον κανονισμό του δικαστηρίου αριθμός υποθέσεων, που ανατίθεται σε κάθε δικαστή</w:t>
            </w:r>
            <w:r w:rsidR="0035240F" w:rsidRPr="00D9010D">
              <w:rPr>
                <w:rFonts w:ascii="Verdana" w:eastAsia="Verdana" w:hAnsi="Verdana" w:cs="Verdana"/>
              </w:rPr>
              <w:t xml:space="preserve">, καλυφθεί, ο ορισμός δικαστή και </w:t>
            </w:r>
            <w:r w:rsidR="0035240F" w:rsidRPr="00D9010D">
              <w:rPr>
                <w:rFonts w:ascii="Verdana" w:eastAsia="Verdana" w:hAnsi="Verdana" w:cs="Verdana"/>
              </w:rPr>
              <w:lastRenderedPageBreak/>
              <w:t>χρόνου συζήτησης της υπόθεσης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w:t>
            </w:r>
            <w:r w:rsidRPr="00D9010D">
              <w:rPr>
                <w:rFonts w:ascii="Verdana" w:eastAsia="Verdana" w:hAnsi="Verdana" w:cs="Verdana"/>
              </w:rPr>
              <w:t>ύ</w:t>
            </w:r>
            <w:r w:rsidR="0035240F" w:rsidRPr="00D9010D">
              <w:rPr>
                <w:rFonts w:ascii="Verdana" w:eastAsia="Verdana" w:hAnsi="Verdana" w:cs="Verdana"/>
              </w:rPr>
              <w:t>σ</w:t>
            </w:r>
            <w:r w:rsidRPr="00D9010D">
              <w:rPr>
                <w:rFonts w:ascii="Verdana" w:eastAsia="Verdana" w:hAnsi="Verdana" w:cs="Verdana"/>
              </w:rPr>
              <w:t>ι</w:t>
            </w:r>
            <w:r w:rsidR="0035240F" w:rsidRPr="00D9010D">
              <w:rPr>
                <w:rFonts w:ascii="Verdana" w:eastAsia="Verdana" w:hAnsi="Verdana" w:cs="Verdana"/>
              </w:rPr>
              <w:t xml:space="preserve">ων δικηγόρων τους. Αναβολή της συζήτησης κατά το άρθρο 241 δεν επιτρέπεται. </w:t>
            </w:r>
          </w:p>
        </w:tc>
        <w:tc>
          <w:tcPr>
            <w:tcW w:w="4927" w:type="dxa"/>
          </w:tcPr>
          <w:p w:rsidR="00E12028" w:rsidRPr="00D9010D" w:rsidRDefault="00E12028"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D9010D">
              <w:rPr>
                <w:rFonts w:ascii="Verdana" w:eastAsia="Verdana" w:hAnsi="Verdana" w:cs="Verdana"/>
                <w:b/>
                <w:u w:val="single"/>
                <w:lang w:val="en-US"/>
              </w:rPr>
              <w:lastRenderedPageBreak/>
              <w:t>CORPUS</w:t>
            </w:r>
          </w:p>
          <w:p w:rsidR="00F007E7" w:rsidRPr="00D9010D" w:rsidRDefault="00F007E7"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r w:rsidRPr="00D9010D">
              <w:rPr>
                <w:rFonts w:ascii="Verdana" w:eastAsia="Verdana" w:hAnsi="Verdana" w:cs="Verdana"/>
              </w:rPr>
              <w:t xml:space="preserve">4. Μέσα σε δεκαπέντε (15) ημέρες από το κλείσιμο του φακέλου της δικογραφίας με πράξη του προέδρου του τριμελούς συμβουλίου ή του 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αμέσως πιο πάνω </w:t>
            </w:r>
            <w:r w:rsidR="0095675D" w:rsidRPr="00D9010D">
              <w:rPr>
                <w:rFonts w:ascii="Verdana" w:eastAsia="Verdana" w:hAnsi="Verdana" w:cs="Verdana"/>
              </w:rPr>
              <w:t xml:space="preserve">δεκαπενθήμερης προθεσμίας. Κατ’ εξαίρεση, αν ο προβλεπόμενος από τον κανονισμό του δικαστηρίου αριθμός υποθέσεων, που ανατίθεται σε κάθε δικαστή, καλυφθεί, ο ορισμός δικαστή και </w:t>
            </w:r>
            <w:r w:rsidR="0095675D" w:rsidRPr="00D9010D">
              <w:rPr>
                <w:rFonts w:ascii="Verdana" w:eastAsia="Verdana" w:hAnsi="Verdana" w:cs="Verdana"/>
              </w:rPr>
              <w:lastRenderedPageBreak/>
              <w:t xml:space="preserve">χρόνου συζήτησης της υπόθεσης γίνεται στον απολύτως αναγκαίο χρόνο. </w:t>
            </w:r>
            <w:r w:rsidRPr="00D9010D">
              <w:rPr>
                <w:rFonts w:ascii="Verdana" w:eastAsia="Verdana" w:hAnsi="Verdana" w:cs="Verdana"/>
              </w:rPr>
              <w:t xml:space="preserve"> </w:t>
            </w:r>
            <w:r w:rsidR="0095675D" w:rsidRPr="00D9010D">
              <w:rPr>
                <w:rFonts w:ascii="Verdana" w:eastAsia="Verdana" w:hAnsi="Verdana" w:cs="Verdana"/>
              </w:rPr>
              <w:t xml:space="preserve">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μπορεί να μην εξετασθούν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 Αν πρόκειται να εξεταστούν μάρτυρες και ο χρόνος δεν επαρκεί για την εξέταση μαρτύρων σε όλες τις υποθέσεις του πινακίου, διακόπτεται η συζήτησή τους για να εξετασθούν οι μάρτυρες ενώπιον των αυτών δικαστών κατά την αμέσως επόμενη δικάσιμο του δικαστηρίου ή σε εμβόλιμη δικάσιμο εντός του επόμενου μήνα. </w:t>
            </w:r>
            <w:r w:rsidR="00D81353" w:rsidRPr="00D9010D">
              <w:rPr>
                <w:rFonts w:ascii="Verdana" w:eastAsia="Verdana" w:hAnsi="Verdana" w:cs="Verdana"/>
              </w:rPr>
              <w:t xml:space="preserve">Οι εμβόλιμες δικάσιμοι ορίζεται σε ευθύνη του διευθύνοντος το δικαστήριο στην αρχή κάθε μήνα για τον επόμενο μήνα και είναι μία για κάθε δικαστή μονομελούς σύνθεσης ή εισηγητή πολυμελούς σύνθεσης, ενώπιον του οποίου εξετάζονται στην περίπτωση αυτή οι μάρτυρες σε υποθέσεις αρμοδιότητας πολυμελούς πρωτοδικείου και αυτός είναι που αποφασίζει για όλα τα σχετικά με την απόδειξη διαδικαστικά ζητήματα. Όταν η συζήτηση διακόπτεται, κατά τα ανωτέρω, για να εξετασθούν μάρτυρες, η ανακοίνωση του χρόνου και του τόπου της εξέτασής τους γίνεται προφορικά κατά την αρχική δικάσιμο από τον πρόεδρο του πολυμελούς πρωτοδικείου ή από τον δικαστή του μονομελούς πρωτοδικείου ή ειρηνοδίκη, καταχωρίζεται στα πρακτικά και επέχει θέση κλήτευσης όλων των διαδίκων και εκείνων που δεν παρίστανται. Η συζήτηση ολοκληρώνεται με την εξέταση των μαρτύρων στη δικάσιμο που ορίστηκε, έστω και χωρίς την παρουσία των διαδίκων ή των πληρεξούσιων δικηγόρων τους. </w:t>
            </w:r>
          </w:p>
          <w:p w:rsidR="00E12028" w:rsidRPr="00D9010D" w:rsidRDefault="00E12028"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p>
        </w:tc>
      </w:tr>
    </w:tbl>
    <w:p w:rsidR="00E12028" w:rsidRPr="00D9010D" w:rsidRDefault="00E12028" w:rsidP="004C68FB">
      <w:pPr>
        <w:pStyle w:val="a4"/>
        <w:jc w:val="both"/>
        <w:rPr>
          <w:rFonts w:ascii="Verdana" w:eastAsia="Verdana" w:hAnsi="Verdana" w:cs="Verdana"/>
        </w:rPr>
      </w:pPr>
    </w:p>
    <w:p w:rsidR="004C68FB" w:rsidRDefault="004C68FB" w:rsidP="004C68FB">
      <w:pPr>
        <w:pStyle w:val="a4"/>
        <w:jc w:val="both"/>
        <w:rPr>
          <w:rFonts w:ascii="Verdana" w:eastAsia="Verdana" w:hAnsi="Verdana" w:cs="Verdana"/>
        </w:rPr>
      </w:pPr>
    </w:p>
    <w:p w:rsidR="00977EF6" w:rsidRDefault="00977EF6" w:rsidP="004C68FB">
      <w:pPr>
        <w:pStyle w:val="a4"/>
        <w:jc w:val="both"/>
        <w:rPr>
          <w:rFonts w:ascii="Verdana" w:eastAsia="Verdana" w:hAnsi="Verdana" w:cs="Verdana"/>
        </w:rPr>
      </w:pPr>
    </w:p>
    <w:p w:rsidR="004C68FB" w:rsidRPr="00DE3C2E" w:rsidRDefault="00633AAC" w:rsidP="00DE3C2E">
      <w:pPr>
        <w:pStyle w:val="a4"/>
        <w:numPr>
          <w:ilvl w:val="1"/>
          <w:numId w:val="2"/>
        </w:numPr>
        <w:jc w:val="both"/>
        <w:rPr>
          <w:rFonts w:ascii="Verdana" w:eastAsia="Verdana" w:hAnsi="Verdana" w:cs="Verdana"/>
          <w:b/>
        </w:rPr>
      </w:pPr>
      <w:r w:rsidRPr="004663FE">
        <w:rPr>
          <w:rFonts w:ascii="Verdana" w:hAnsi="Verdana"/>
          <w:b/>
        </w:rPr>
        <w:t>Άρθρο</w:t>
      </w:r>
      <w:r w:rsidRPr="00DE3C2E">
        <w:rPr>
          <w:b/>
        </w:rPr>
        <w:t xml:space="preserve"> </w:t>
      </w:r>
      <w:r w:rsidRPr="00DE3C2E">
        <w:rPr>
          <w:rFonts w:ascii="Verdana"/>
          <w:b/>
        </w:rPr>
        <w:t xml:space="preserve">254: </w:t>
      </w:r>
    </w:p>
    <w:tbl>
      <w:tblPr>
        <w:tblStyle w:val="a6"/>
        <w:tblW w:w="0" w:type="auto"/>
        <w:tblLook w:val="04A0"/>
      </w:tblPr>
      <w:tblGrid>
        <w:gridCol w:w="4927"/>
        <w:gridCol w:w="4927"/>
      </w:tblGrid>
      <w:tr w:rsidR="00F109D9" w:rsidRPr="00681567" w:rsidTr="00F109D9">
        <w:tc>
          <w:tcPr>
            <w:tcW w:w="4927" w:type="dxa"/>
          </w:tcPr>
          <w:p w:rsidR="00F109D9" w:rsidRPr="00D9010D" w:rsidRDefault="00F109D9"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lang w:val="en-US"/>
              </w:rPr>
            </w:pPr>
            <w:r w:rsidRPr="00D9010D">
              <w:rPr>
                <w:rFonts w:ascii="Verdana" w:eastAsia="Verdana" w:hAnsi="Verdana" w:cs="Verdana"/>
                <w:b/>
                <w:u w:val="single"/>
              </w:rPr>
              <w:t xml:space="preserve">ΣΧΕΔΙΟ ΝΟΜΟΥ </w:t>
            </w:r>
          </w:p>
          <w:p w:rsidR="00F109D9" w:rsidRPr="00D9010D" w:rsidRDefault="00F109D9" w:rsidP="00F109D9">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53"/>
                <w:tab w:val="num" w:pos="0"/>
              </w:tabs>
              <w:ind w:left="0" w:firstLine="142"/>
              <w:jc w:val="both"/>
              <w:rPr>
                <w:rFonts w:ascii="Verdana" w:eastAsia="Verdana" w:hAnsi="Verdana" w:cs="Verdana"/>
              </w:rPr>
            </w:pPr>
            <w:r w:rsidRPr="00D9010D">
              <w:rPr>
                <w:rFonts w:ascii="Verdana" w:eastAsia="Verdana" w:hAnsi="Verdana" w:cs="Verdana"/>
              </w:rPr>
              <w:t xml:space="preserve">Το δικαστήριο μπορεί να διατάξει την επανάληψη </w:t>
            </w:r>
            <w:r w:rsidRPr="00D9010D">
              <w:rPr>
                <w:rFonts w:ascii="Verdana" w:eastAsia="Verdana" w:hAnsi="Verdana" w:cs="Verdana"/>
                <w:b/>
              </w:rPr>
              <w:t>της συζήτησης</w:t>
            </w:r>
            <w:r w:rsidRPr="00D9010D">
              <w:rPr>
                <w:rFonts w:ascii="Verdana" w:eastAsia="Verdana" w:hAnsi="Verdana" w:cs="Verdana"/>
              </w:rPr>
              <w:t xml:space="preserve">,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w:t>
            </w:r>
            <w:r w:rsidRPr="00D9010D">
              <w:rPr>
                <w:rFonts w:ascii="Verdana" w:eastAsia="Verdana" w:hAnsi="Verdana" w:cs="Verdana"/>
                <w:b/>
              </w:rPr>
              <w:t>ή όταν επιβάλλεται η διενέργεια αυτοψίας, πραγματογνωμοσύνης ή εξέτασης των διαδίκων στο ακροατήριο.</w:t>
            </w:r>
            <w:r w:rsidRPr="00D9010D">
              <w:rPr>
                <w:rFonts w:ascii="Verdana" w:eastAsia="Verdana" w:hAnsi="Verdana" w:cs="Verdana"/>
              </w:rPr>
              <w:t xml:space="preserve"> Η απόφαση μνημονεύει απαραιτήτως τα ειδικά θέματα που αποτελούν αντικείμενο της επαναλαμβανόμενης συζήτησης. Η συζήτηση αυτή θεωρείται συνέχεια της </w:t>
            </w:r>
            <w:r w:rsidRPr="00D9010D">
              <w:rPr>
                <w:rFonts w:ascii="Verdana" w:eastAsia="Verdana" w:hAnsi="Verdana" w:cs="Verdana"/>
                <w:b/>
              </w:rPr>
              <w:t>προηγουμένης.</w:t>
            </w:r>
            <w:r w:rsidRPr="00D9010D">
              <w:rPr>
                <w:rFonts w:ascii="Verdana" w:eastAsia="Verdana" w:hAnsi="Verdana" w:cs="Verdana"/>
              </w:rPr>
              <w:t xml:space="preserve"> </w:t>
            </w:r>
            <w:r w:rsidRPr="00D9010D">
              <w:rPr>
                <w:rFonts w:ascii="Verdana" w:eastAsia="Verdana" w:hAnsi="Verdana" w:cs="Verdana"/>
                <w:b/>
              </w:rPr>
              <w:t>Στην περίπτωση των άρθρων 237 και 238 με την απόφαση για την επανάληψη της συζήτησης μπορεί επιπλέον, αν κρίνεται απολύτως αναγκαία</w:t>
            </w:r>
            <w:r w:rsidR="000252CB" w:rsidRPr="00D9010D">
              <w:rPr>
                <w:rFonts w:ascii="Verdana" w:eastAsia="Verdana" w:hAnsi="Verdana" w:cs="Verdana"/>
                <w:b/>
              </w:rPr>
              <w:t xml:space="preserve"> η εξέταση μαρτύρων στο ακροατήριο, να διαταχθεί και η εξέταση ενός μάρτυρα από κάθε πλευρά κατά την επαναλαμβανόμενη συζήτηση.</w:t>
            </w:r>
          </w:p>
          <w:p w:rsidR="000252CB" w:rsidRPr="00D9010D" w:rsidRDefault="000252CB" w:rsidP="00F109D9">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53"/>
                <w:tab w:val="num" w:pos="0"/>
              </w:tabs>
              <w:ind w:left="0" w:firstLine="142"/>
              <w:jc w:val="both"/>
              <w:rPr>
                <w:rFonts w:ascii="Verdana" w:eastAsia="Verdana" w:hAnsi="Verdana" w:cs="Verdana"/>
              </w:rPr>
            </w:pPr>
            <w:r w:rsidRPr="00D9010D">
              <w:rPr>
                <w:rFonts w:ascii="Verdana" w:eastAsia="Verdana" w:hAnsi="Verdana" w:cs="Verdana"/>
                <w:b/>
              </w:rPr>
              <w:t>Στην επαναλαμβανόμενη συζήτηση, η οποία ορίζεται το συντομότερο δυνατό, οι διάδικοι κλητεύονται τριάντα (30) τουλάχιστον ημέρες πριν από αυτήν.</w:t>
            </w:r>
          </w:p>
          <w:p w:rsidR="000252CB" w:rsidRPr="00D9010D" w:rsidRDefault="000252CB" w:rsidP="00F109D9">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53"/>
                <w:tab w:val="num" w:pos="0"/>
              </w:tabs>
              <w:ind w:left="0" w:firstLine="142"/>
              <w:jc w:val="both"/>
              <w:rPr>
                <w:rFonts w:ascii="Verdana" w:eastAsia="Verdana" w:hAnsi="Verdana" w:cs="Verdana"/>
              </w:rPr>
            </w:pPr>
            <w:r w:rsidRPr="00D9010D">
              <w:rPr>
                <w:rFonts w:ascii="Verdana" w:eastAsia="Verdana" w:hAnsi="Verdana" w:cs="Verdana"/>
                <w:b/>
              </w:rPr>
              <w:t>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w:t>
            </w:r>
          </w:p>
        </w:tc>
        <w:tc>
          <w:tcPr>
            <w:tcW w:w="4927" w:type="dxa"/>
          </w:tcPr>
          <w:p w:rsidR="00F109D9" w:rsidRPr="00D9010D" w:rsidRDefault="00F109D9"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D9010D">
              <w:rPr>
                <w:rFonts w:ascii="Verdana" w:eastAsia="Verdana" w:hAnsi="Verdana" w:cs="Verdana"/>
                <w:b/>
                <w:u w:val="single"/>
                <w:lang w:val="en-US"/>
              </w:rPr>
              <w:t>CORPUS</w:t>
            </w:r>
          </w:p>
          <w:p w:rsidR="00292EB1" w:rsidRPr="00D9010D" w:rsidRDefault="00292EB1" w:rsidP="00292EB1">
            <w:pPr>
              <w:pStyle w:val="a4"/>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53"/>
                <w:tab w:val="num" w:pos="176"/>
              </w:tabs>
              <w:ind w:left="35" w:firstLine="141"/>
              <w:jc w:val="both"/>
              <w:rPr>
                <w:rFonts w:ascii="Verdana" w:eastAsia="Verdana" w:hAnsi="Verdana" w:cs="Verdana"/>
                <w:b/>
              </w:rPr>
            </w:pPr>
            <w:r w:rsidRPr="00D9010D">
              <w:rPr>
                <w:rFonts w:ascii="Verdana" w:eastAsia="Verdana" w:hAnsi="Verdana" w:cs="Verdana"/>
                <w:b/>
              </w:rPr>
              <w:t xml:space="preserve">Το δικαστήριο μπορεί να διατάξει την επανάληψη της 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ή όταν επιβάλλεται η διενέργεια αυτοψίας, πραγματογνωμοσύνης ή εξέτασης των διαδίκων στο ακροατήριο.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 Στην περίπτωση των άρθρων 237 και 238 με την απόφαση για την επανάληψη της συζήτησης μπορεί επιπλέον, </w:t>
            </w:r>
            <w:r w:rsidR="00320C3B" w:rsidRPr="00D9010D">
              <w:rPr>
                <w:rFonts w:ascii="Verdana" w:eastAsia="Verdana" w:hAnsi="Verdana" w:cs="Verdana"/>
                <w:b/>
              </w:rPr>
              <w:t>να διαταχθεί και η εξέταση ενός μάρτυρα από κάθε πλευρά κατά την επαναλαμβανόμενη συζήτηση.</w:t>
            </w:r>
          </w:p>
          <w:p w:rsidR="00292EB1" w:rsidRPr="00D9010D" w:rsidRDefault="00292EB1" w:rsidP="00292EB1">
            <w:pPr>
              <w:pStyle w:val="a4"/>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142"/>
              <w:jc w:val="both"/>
              <w:rPr>
                <w:rFonts w:ascii="Verdana" w:eastAsia="Verdana" w:hAnsi="Verdana" w:cs="Verdana"/>
                <w:b/>
              </w:rPr>
            </w:pPr>
            <w:r w:rsidRPr="00D9010D">
              <w:rPr>
                <w:rFonts w:ascii="Verdana" w:eastAsia="Verdana" w:hAnsi="Verdana" w:cs="Verdana"/>
                <w:b/>
              </w:rPr>
              <w:t>Στην επαναλαμβανόμενη συζήτηση, η οποία ορίζεται το συντομότερο δυνατό, οι διάδικοι κλητεύονται τριάντα (30) τουλάχιστον ημέρες πριν από αυτήν.</w:t>
            </w:r>
          </w:p>
          <w:p w:rsidR="00F109D9" w:rsidRPr="00D9010D" w:rsidRDefault="00320C3B" w:rsidP="00320C3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r w:rsidRPr="00D9010D">
              <w:rPr>
                <w:rFonts w:ascii="Verdana" w:eastAsia="Verdana" w:hAnsi="Verdana" w:cs="Verdana"/>
                <w:b/>
              </w:rPr>
              <w:t xml:space="preserve">3. </w:t>
            </w:r>
            <w:r w:rsidR="00292EB1" w:rsidRPr="00D9010D">
              <w:rPr>
                <w:rFonts w:ascii="Verdana" w:eastAsia="Verdana" w:hAnsi="Verdana" w:cs="Verdana"/>
                <w:b/>
              </w:rPr>
              <w:t>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w:t>
            </w:r>
          </w:p>
        </w:tc>
      </w:tr>
    </w:tbl>
    <w:p w:rsidR="004C68FB" w:rsidRDefault="004C68FB" w:rsidP="004C68FB">
      <w:pPr>
        <w:pStyle w:val="a4"/>
        <w:jc w:val="both"/>
        <w:rPr>
          <w:rFonts w:ascii="Verdana" w:eastAsia="Verdana" w:hAnsi="Verdana" w:cs="Verdana"/>
        </w:rPr>
      </w:pPr>
    </w:p>
    <w:p w:rsidR="00977EF6" w:rsidRDefault="00977EF6" w:rsidP="004C68FB">
      <w:pPr>
        <w:pStyle w:val="a4"/>
        <w:jc w:val="both"/>
        <w:rPr>
          <w:rFonts w:ascii="Verdana" w:eastAsia="Verdana" w:hAnsi="Verdana" w:cs="Verdana"/>
        </w:rPr>
      </w:pPr>
    </w:p>
    <w:p w:rsidR="00977EF6" w:rsidRDefault="00977EF6" w:rsidP="004C68FB">
      <w:pPr>
        <w:pStyle w:val="a4"/>
        <w:jc w:val="both"/>
        <w:rPr>
          <w:rFonts w:ascii="Verdana" w:eastAsia="Verdana" w:hAnsi="Verdana" w:cs="Verdana"/>
        </w:rPr>
      </w:pPr>
    </w:p>
    <w:p w:rsidR="008068F7" w:rsidRPr="00D9010D" w:rsidRDefault="00633AAC" w:rsidP="00DE3C2E">
      <w:pPr>
        <w:pStyle w:val="a4"/>
        <w:numPr>
          <w:ilvl w:val="1"/>
          <w:numId w:val="3"/>
        </w:numPr>
        <w:jc w:val="both"/>
        <w:rPr>
          <w:rFonts w:ascii="Verdana" w:eastAsia="Verdana" w:hAnsi="Verdana" w:cs="Verdana"/>
        </w:rPr>
      </w:pPr>
      <w:r w:rsidRPr="004663FE">
        <w:rPr>
          <w:rFonts w:ascii="Verdana" w:hAnsi="Verdana"/>
          <w:b/>
        </w:rPr>
        <w:t>Άρθρο</w:t>
      </w:r>
      <w:r w:rsidRPr="00977EF6">
        <w:rPr>
          <w:b/>
        </w:rPr>
        <w:t xml:space="preserve"> </w:t>
      </w:r>
      <w:r w:rsidRPr="00977EF6">
        <w:rPr>
          <w:rFonts w:ascii="Verdana"/>
          <w:b/>
        </w:rPr>
        <w:t>623:</w:t>
      </w:r>
      <w:r w:rsidRPr="00D9010D">
        <w:rPr>
          <w:rFonts w:ascii="Verdana"/>
        </w:rPr>
        <w:t xml:space="preserve"> </w:t>
      </w:r>
      <w:r w:rsidRPr="00D9010D">
        <w:t xml:space="preserve">Στο </w:t>
      </w:r>
      <w:r w:rsidRPr="00D9010D">
        <w:rPr>
          <w:rFonts w:ascii="Verdana"/>
          <w:lang w:val="en-US"/>
        </w:rPr>
        <w:t>Corpus</w:t>
      </w:r>
      <w:r w:rsidRPr="00D9010D">
        <w:rPr>
          <w:rFonts w:ascii="Verdana"/>
        </w:rPr>
        <w:t xml:space="preserve"> </w:t>
      </w:r>
      <w:r w:rsidRPr="00D9010D">
        <w:t>προστίθεται παρ</w:t>
      </w:r>
      <w:r w:rsidRPr="00D9010D">
        <w:rPr>
          <w:rFonts w:ascii="Verdana"/>
        </w:rPr>
        <w:t xml:space="preserve">. 2. </w:t>
      </w:r>
      <w:r w:rsidRPr="00D9010D">
        <w:t>Ενώ στο σχ</w:t>
      </w:r>
      <w:r w:rsidR="00320C3B" w:rsidRPr="00D9010D">
        <w:t>έ</w:t>
      </w:r>
      <w:r w:rsidRPr="00D9010D">
        <w:t xml:space="preserve">διο νόμου δεν αναφέρεται στο οικείο κεφάλαιο προσθήκη της </w:t>
      </w:r>
      <w:proofErr w:type="spellStart"/>
      <w:r w:rsidRPr="00D9010D">
        <w:t>της</w:t>
      </w:r>
      <w:proofErr w:type="spellEnd"/>
      <w:r w:rsidRPr="00D9010D">
        <w:t xml:space="preserve"> εν λόγω παραγράφου</w:t>
      </w:r>
      <w:r w:rsidRPr="00D9010D">
        <w:rPr>
          <w:rFonts w:ascii="Verdana"/>
        </w:rPr>
        <w:t xml:space="preserve">, </w:t>
      </w:r>
      <w:r w:rsidRPr="00D9010D">
        <w:t xml:space="preserve">αλλά </w:t>
      </w:r>
      <w:r w:rsidRPr="00D9010D">
        <w:rPr>
          <w:rFonts w:ascii="Verdana"/>
        </w:rPr>
        <w:t>-</w:t>
      </w:r>
      <w:r w:rsidRPr="00D9010D">
        <w:t>ανεξήγητα</w:t>
      </w:r>
      <w:r w:rsidRPr="00D9010D">
        <w:rPr>
          <w:rFonts w:ascii="Verdana"/>
        </w:rPr>
        <w:t xml:space="preserve">- </w:t>
      </w:r>
      <w:r w:rsidRPr="00D9010D">
        <w:t>περ</w:t>
      </w:r>
      <w:r w:rsidR="004C68FB" w:rsidRPr="00D9010D">
        <w:t>ι</w:t>
      </w:r>
      <w:r w:rsidRPr="00D9010D">
        <w:t>λαμβάνεται σχετική ρ</w:t>
      </w:r>
      <w:r w:rsidR="004C68FB" w:rsidRPr="00D9010D">
        <w:t>ύ</w:t>
      </w:r>
      <w:r w:rsidRPr="00D9010D">
        <w:t xml:space="preserve">θμιση στις </w:t>
      </w:r>
      <w:r w:rsidRPr="00D9010D">
        <w:rPr>
          <w:rFonts w:ascii="Verdana"/>
        </w:rPr>
        <w:t>"</w:t>
      </w:r>
      <w:r w:rsidRPr="00D9010D">
        <w:t>μεταβατικές</w:t>
      </w:r>
      <w:r w:rsidRPr="00D9010D">
        <w:rPr>
          <w:rFonts w:ascii="Verdana"/>
        </w:rPr>
        <w:t xml:space="preserve"> </w:t>
      </w:r>
      <w:r w:rsidRPr="00D9010D">
        <w:t>και άλλες διατάξεις</w:t>
      </w:r>
      <w:r w:rsidRPr="00D9010D">
        <w:rPr>
          <w:rFonts w:ascii="Verdana"/>
        </w:rPr>
        <w:t xml:space="preserve">" </w:t>
      </w:r>
      <w:r w:rsidRPr="00D9010D">
        <w:t>στο στ</w:t>
      </w:r>
      <w:r w:rsidRPr="00D9010D">
        <w:rPr>
          <w:rFonts w:ascii="Verdana"/>
        </w:rPr>
        <w:t>. 8.</w:t>
      </w:r>
    </w:p>
    <w:p w:rsidR="00320C3B" w:rsidRPr="00D9010D" w:rsidRDefault="00320C3B" w:rsidP="00320C3B">
      <w:pPr>
        <w:pStyle w:val="a4"/>
        <w:jc w:val="both"/>
        <w:rPr>
          <w:rFonts w:ascii="Verdana"/>
        </w:rPr>
      </w:pPr>
    </w:p>
    <w:tbl>
      <w:tblPr>
        <w:tblStyle w:val="a6"/>
        <w:tblW w:w="0" w:type="auto"/>
        <w:tblLook w:val="04A0"/>
      </w:tblPr>
      <w:tblGrid>
        <w:gridCol w:w="4927"/>
        <w:gridCol w:w="4927"/>
      </w:tblGrid>
      <w:tr w:rsidR="003422C4" w:rsidRPr="00681567" w:rsidTr="003422C4">
        <w:tc>
          <w:tcPr>
            <w:tcW w:w="4927" w:type="dxa"/>
          </w:tcPr>
          <w:p w:rsidR="003422C4" w:rsidRPr="00681567" w:rsidRDefault="003422C4" w:rsidP="00320C3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977EF6">
              <w:rPr>
                <w:rFonts w:ascii="Verdana" w:eastAsia="Verdana" w:hAnsi="Verdana" w:cs="Verdana"/>
                <w:b/>
                <w:u w:val="single"/>
              </w:rPr>
              <w:t>ΣΧΕΔΙΟ ΝΟΜΟΥ</w:t>
            </w:r>
          </w:p>
          <w:p w:rsidR="003422C4" w:rsidRPr="00D9010D" w:rsidRDefault="003422C4" w:rsidP="00320C3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r w:rsidRPr="00D9010D">
              <w:rPr>
                <w:rFonts w:ascii="Verdana" w:eastAsia="Verdana" w:hAnsi="Verdana" w:cs="Verdana"/>
              </w:rPr>
              <w:t xml:space="preserve">8. Για τις απαιτήσεις του άρθρου 623 του Κώδικα Πολιτικής Δικονομίας μπορεί να ζητηθεί η έκδοση εντολής για πληρωμή, τη διαδικασία έκδοσης, το περιεχόμενο, ο τύπος και οι έννομες συνέπειες της οποία θα καθοριστούν με προεδρικό διάταγμα, </w:t>
            </w:r>
            <w:r w:rsidRPr="00D9010D">
              <w:rPr>
                <w:rFonts w:ascii="Verdana" w:eastAsia="Verdana" w:hAnsi="Verdana" w:cs="Verdana"/>
              </w:rPr>
              <w:lastRenderedPageBreak/>
              <w:t xml:space="preserve">που θα εκδοθεί ύστερα του Υπουργού Δικαιοσύνης, Διαφάνειας και Ανθρωπίνων Δικαιωμάτων. </w:t>
            </w:r>
          </w:p>
        </w:tc>
        <w:tc>
          <w:tcPr>
            <w:tcW w:w="4927" w:type="dxa"/>
          </w:tcPr>
          <w:p w:rsidR="003422C4" w:rsidRPr="00977EF6" w:rsidRDefault="003422C4" w:rsidP="00320C3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977EF6">
              <w:rPr>
                <w:rFonts w:ascii="Verdana" w:eastAsia="Verdana" w:hAnsi="Verdana" w:cs="Verdana"/>
                <w:b/>
                <w:u w:val="single"/>
                <w:lang w:val="en-US"/>
              </w:rPr>
              <w:lastRenderedPageBreak/>
              <w:t>CORPUS</w:t>
            </w:r>
          </w:p>
          <w:p w:rsidR="003422C4" w:rsidRPr="00D9010D" w:rsidRDefault="003422C4" w:rsidP="003422C4">
            <w:pPr>
              <w:pStyle w:val="a4"/>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60"/>
              </w:tabs>
              <w:ind w:left="35" w:firstLine="0"/>
              <w:jc w:val="both"/>
              <w:rPr>
                <w:rFonts w:ascii="Verdana" w:eastAsia="Verdana" w:hAnsi="Verdana" w:cs="Verdana"/>
              </w:rPr>
            </w:pPr>
            <w:r w:rsidRPr="00D9010D">
              <w:rPr>
                <w:rFonts w:ascii="Verdana" w:eastAsia="Verdana" w:hAnsi="Verdana" w:cs="Verdana"/>
              </w:rPr>
              <w:t xml:space="preserve">Κατά τις διατάξεις των άρθρων 624 έως 636 μπορεί να ζητηθεί η έκδοση διαταγής πληρωμής για χρηματικές απαιτήσεις ή απαιτήσεις παροχής χρεογράφων, εφόσον πρόκειται για ιδιωτικού δικαίου διαφορά και η απαίτηση </w:t>
            </w:r>
            <w:r w:rsidRPr="00D9010D">
              <w:rPr>
                <w:rFonts w:ascii="Verdana" w:eastAsia="Verdana" w:hAnsi="Verdana" w:cs="Verdana"/>
              </w:rPr>
              <w:lastRenderedPageBreak/>
              <w:t xml:space="preserve">καθώς και το οφειλόμενο ποσό αποδεικνύονται με δημόσιο ή ιδιωτικό έγγραφο, ή με απόφαση ασφαλιστικών μέτρων, η οποία εκδόθηκε μετά από ομολογία ή αποδοχή της αίτησης του οφειλέτη. </w:t>
            </w:r>
          </w:p>
          <w:p w:rsidR="003422C4" w:rsidRPr="00D9010D" w:rsidRDefault="003422C4" w:rsidP="003422C4">
            <w:pPr>
              <w:pStyle w:val="a4"/>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60"/>
              </w:tabs>
              <w:ind w:left="35" w:firstLine="0"/>
              <w:jc w:val="both"/>
              <w:rPr>
                <w:rFonts w:ascii="Verdana" w:eastAsia="Verdana" w:hAnsi="Verdana" w:cs="Verdana"/>
              </w:rPr>
            </w:pPr>
            <w:r w:rsidRPr="00D9010D">
              <w:rPr>
                <w:rFonts w:ascii="Verdana" w:eastAsia="Verdana" w:hAnsi="Verdana" w:cs="Verdana"/>
              </w:rPr>
              <w:t xml:space="preserve">Για τις απαιτήσεις της προηγούμενης παραγράφου μπορεί επίσης να ζητηθεί η έκδοση εντολής για πληρωμή, η διαδικασία εκδόσεως, το περιεχόμενο, ο τύπος και οι έννομες συνέπειας της οποίας </w:t>
            </w:r>
            <w:r w:rsidR="00420207" w:rsidRPr="00D9010D">
              <w:rPr>
                <w:rFonts w:ascii="Verdana" w:eastAsia="Verdana" w:hAnsi="Verdana" w:cs="Verdana"/>
              </w:rPr>
              <w:t>καθορίζονται με προεδρικό διάταγμα, που εκδίδεται με πρόταση του Υπουργού Δικαιοσύνης, Διαφάνειας και Ανθρωπίνων Δικαιωμάτων.</w:t>
            </w:r>
          </w:p>
        </w:tc>
      </w:tr>
    </w:tbl>
    <w:p w:rsidR="003422C4" w:rsidRPr="00D9010D" w:rsidRDefault="003422C4" w:rsidP="00320C3B">
      <w:pPr>
        <w:pStyle w:val="a4"/>
        <w:jc w:val="both"/>
        <w:rPr>
          <w:rFonts w:ascii="Verdana" w:eastAsia="Verdana" w:hAnsi="Verdana" w:cs="Verdana"/>
        </w:rPr>
      </w:pPr>
    </w:p>
    <w:p w:rsidR="004C68FB" w:rsidRPr="00D9010D" w:rsidRDefault="004C68FB" w:rsidP="004C68FB">
      <w:pPr>
        <w:pStyle w:val="a4"/>
        <w:jc w:val="both"/>
        <w:rPr>
          <w:rFonts w:ascii="Verdana" w:eastAsia="Verdana" w:hAnsi="Verdana" w:cs="Verdana"/>
        </w:rPr>
      </w:pPr>
    </w:p>
    <w:p w:rsidR="004C68FB" w:rsidRPr="00D9010D" w:rsidRDefault="004C68FB" w:rsidP="004C68FB">
      <w:pPr>
        <w:pStyle w:val="a4"/>
        <w:jc w:val="both"/>
        <w:rPr>
          <w:rFonts w:ascii="Verdana" w:eastAsia="Verdana" w:hAnsi="Verdana" w:cs="Verdana"/>
        </w:rPr>
      </w:pPr>
    </w:p>
    <w:p w:rsidR="004C68FB" w:rsidRPr="00DE3C2E" w:rsidRDefault="00633AAC" w:rsidP="00DE3C2E">
      <w:pPr>
        <w:pStyle w:val="a4"/>
        <w:numPr>
          <w:ilvl w:val="0"/>
          <w:numId w:val="4"/>
        </w:numPr>
        <w:jc w:val="both"/>
        <w:rPr>
          <w:rFonts w:ascii="Verdana" w:eastAsia="Verdana" w:hAnsi="Verdana" w:cs="Verdana"/>
        </w:rPr>
      </w:pPr>
      <w:r w:rsidRPr="004663FE">
        <w:rPr>
          <w:rFonts w:ascii="Verdana" w:hAnsi="Verdana"/>
          <w:b/>
        </w:rPr>
        <w:t>Άρθρα</w:t>
      </w:r>
      <w:r w:rsidRPr="00DE3C2E">
        <w:rPr>
          <w:b/>
        </w:rPr>
        <w:t xml:space="preserve"> </w:t>
      </w:r>
      <w:r w:rsidRPr="00DE3C2E">
        <w:rPr>
          <w:rFonts w:ascii="Verdana"/>
          <w:b/>
        </w:rPr>
        <w:t xml:space="preserve">975 </w:t>
      </w:r>
      <w:r w:rsidRPr="00DE3C2E">
        <w:rPr>
          <w:b/>
        </w:rPr>
        <w:t xml:space="preserve">και </w:t>
      </w:r>
      <w:r w:rsidRPr="00DE3C2E">
        <w:rPr>
          <w:rFonts w:ascii="Verdana"/>
          <w:b/>
        </w:rPr>
        <w:t>977:</w:t>
      </w:r>
      <w:r w:rsidRPr="00DE3C2E">
        <w:rPr>
          <w:rFonts w:ascii="Verdana"/>
        </w:rPr>
        <w:t xml:space="preserve"> </w:t>
      </w:r>
    </w:p>
    <w:tbl>
      <w:tblPr>
        <w:tblStyle w:val="a6"/>
        <w:tblW w:w="0" w:type="auto"/>
        <w:tblLook w:val="04A0"/>
      </w:tblPr>
      <w:tblGrid>
        <w:gridCol w:w="4927"/>
        <w:gridCol w:w="4927"/>
      </w:tblGrid>
      <w:tr w:rsidR="00D9010D" w:rsidRPr="00681567" w:rsidTr="00D9010D">
        <w:tc>
          <w:tcPr>
            <w:tcW w:w="4927" w:type="dxa"/>
          </w:tcPr>
          <w:p w:rsidR="00D9010D" w:rsidRPr="00977EF6" w:rsidRDefault="00D9010D"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977EF6">
              <w:rPr>
                <w:rFonts w:ascii="Verdana" w:eastAsia="Verdana" w:hAnsi="Verdana" w:cs="Verdana"/>
                <w:b/>
                <w:u w:val="single"/>
              </w:rPr>
              <w:t>ΣΧΕΔΙΟ ΝΟΜΟΥ</w:t>
            </w:r>
          </w:p>
          <w:p w:rsidR="00921C7F" w:rsidRDefault="00921C7F" w:rsidP="00977EF6">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r>
              <w:rPr>
                <w:rFonts w:ascii="Verdana" w:eastAsia="Verdana" w:hAnsi="Verdana" w:cs="Verdana"/>
                <w:b/>
              </w:rPr>
              <w:t>Άρθρο 975</w:t>
            </w:r>
          </w:p>
          <w:p w:rsidR="00D9010D" w:rsidRPr="0043657F" w:rsidRDefault="00977EF6" w:rsidP="00977EF6">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r w:rsidRPr="0043657F">
              <w:rPr>
                <w:rFonts w:ascii="Verdana" w:eastAsia="Verdana" w:hAnsi="Verdana" w:cs="Verdana"/>
                <w:b/>
              </w:rPr>
              <w:t>Η κατάταξη των δανειστών στον πίνακα γίνεται με την εξής σειρά. Αφού αφαιρεθούν τα έξοδα της εκτέλεσης</w:t>
            </w:r>
            <w:r w:rsidR="00470B81">
              <w:rPr>
                <w:rFonts w:ascii="Verdana" w:eastAsia="Verdana" w:hAnsi="Verdana" w:cs="Verdana"/>
                <w:b/>
              </w:rPr>
              <w:t>,</w:t>
            </w:r>
            <w:r w:rsidRPr="0043657F">
              <w:rPr>
                <w:rFonts w:ascii="Verdana" w:eastAsia="Verdana" w:hAnsi="Verdana" w:cs="Verdana"/>
                <w:b/>
              </w:rPr>
              <w:t xml:space="preserve"> που ορίζονται αιτιολογημένα από τον υπάλληλο του πλειστηριασμού, κατατάσσονται :</w:t>
            </w:r>
          </w:p>
          <w:p w:rsidR="00977EF6" w:rsidRPr="0043657F" w:rsidRDefault="00977EF6" w:rsidP="00DE3C2E">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Verdana" w:eastAsia="Verdana" w:hAnsi="Verdana" w:cs="Verdana"/>
              </w:rPr>
            </w:pPr>
            <w:r w:rsidRPr="0043657F">
              <w:rPr>
                <w:rFonts w:ascii="Verdana" w:eastAsia="Verdana" w:hAnsi="Verdana" w:cs="Verdana"/>
                <w:b/>
              </w:rPr>
              <w:t>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w:t>
            </w:r>
            <w:r w:rsidR="00470B81">
              <w:rPr>
                <w:rFonts w:ascii="Verdana" w:eastAsia="Verdana" w:hAnsi="Verdana" w:cs="Verdana"/>
                <w:b/>
              </w:rPr>
              <w:t>ς</w:t>
            </w:r>
            <w:r w:rsidRPr="0043657F">
              <w:rPr>
                <w:rFonts w:ascii="Verdana" w:eastAsia="Verdana" w:hAnsi="Verdana" w:cs="Verdana"/>
                <w:b/>
              </w:rPr>
              <w:t xml:space="preserve"> δώδεκα (12) μήνες πριν από την ημέρα διενέργειας του πλειστηριασμού</w:t>
            </w:r>
            <w:r w:rsidR="0043657F">
              <w:rPr>
                <w:rFonts w:ascii="Verdana" w:eastAsia="Verdana" w:hAnsi="Verdana" w:cs="Verdana"/>
              </w:rPr>
              <w:t xml:space="preserve"> </w:t>
            </w:r>
            <w:r w:rsidR="0043657F" w:rsidRPr="0043657F">
              <w:rPr>
                <w:rFonts w:ascii="Verdana" w:eastAsia="Verdana" w:hAnsi="Verdana" w:cs="Verdana"/>
                <w:b/>
              </w:rPr>
              <w:t>ή</w:t>
            </w:r>
            <w:r w:rsidR="0043657F">
              <w:rPr>
                <w:rFonts w:ascii="Verdana" w:eastAsia="Verdana" w:hAnsi="Verdana" w:cs="Verdana"/>
                <w:b/>
              </w:rPr>
              <w:t xml:space="preserve"> κήρυξης της πτώχευσης. Στη ίδια τάξη υπάγονται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ημέρα του πλειστηριασμού ή την κήρυξη της πτώχευσης.</w:t>
            </w:r>
          </w:p>
          <w:p w:rsidR="0043657F" w:rsidRPr="0043657F" w:rsidRDefault="0043657F" w:rsidP="00DE3C2E">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Verdana" w:eastAsia="Verdana" w:hAnsi="Verdana" w:cs="Verdana"/>
              </w:rPr>
            </w:pPr>
            <w:r>
              <w:rPr>
                <w:rFonts w:ascii="Verdana" w:eastAsia="Verdana" w:hAnsi="Verdana" w:cs="Verdana"/>
                <w:b/>
              </w:rPr>
              <w:t xml:space="preserve">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 </w:t>
            </w:r>
          </w:p>
          <w:p w:rsidR="0043657F" w:rsidRPr="000258C6" w:rsidRDefault="0043657F" w:rsidP="00DE3C2E">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Verdana" w:eastAsia="Verdana" w:hAnsi="Verdana" w:cs="Verdana"/>
              </w:rPr>
            </w:pPr>
            <w:r>
              <w:rPr>
                <w:rFonts w:ascii="Verdana" w:eastAsia="Verdana" w:hAnsi="Verdana" w:cs="Verdana"/>
                <w:b/>
              </w:rPr>
              <w:t xml:space="preserve">Οι απαιτήσεις, που έχουν ως </w:t>
            </w:r>
            <w:r>
              <w:rPr>
                <w:rFonts w:ascii="Verdana" w:eastAsia="Verdana" w:hAnsi="Verdana" w:cs="Verdana"/>
                <w:b/>
              </w:rPr>
              <w:lastRenderedPageBreak/>
              <w:t>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w:t>
            </w:r>
            <w:r w:rsidR="00F54408">
              <w:rPr>
                <w:rFonts w:ascii="Verdana" w:eastAsia="Verdana" w:hAnsi="Verdana" w:cs="Verdana"/>
                <w:b/>
              </w:rPr>
              <w:t xml:space="preserve">, εφόσον προέκυψαν μέσα στην τελευταία διετία πριν από την ημερομηνία ορισμού του πρώτου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τον χρόνο που προέκυψαν.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w:t>
            </w:r>
            <w:r w:rsidR="000258C6">
              <w:rPr>
                <w:rFonts w:ascii="Verdana" w:eastAsia="Verdana" w:hAnsi="Verdana" w:cs="Verdana"/>
                <w:b/>
              </w:rPr>
              <w:t>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του πλειστηριασμού ή την κήρυξης της πτώχευσης.</w:t>
            </w:r>
          </w:p>
          <w:p w:rsidR="000258C6" w:rsidRPr="00851C08" w:rsidRDefault="000258C6" w:rsidP="00DE3C2E">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Verdana" w:eastAsia="Verdana" w:hAnsi="Verdana" w:cs="Verdana"/>
              </w:rPr>
            </w:pPr>
            <w:r>
              <w:rPr>
                <w:rFonts w:ascii="Verdana" w:eastAsia="Verdana" w:hAnsi="Verdana" w:cs="Verdana"/>
                <w:b/>
              </w:rPr>
              <w:t xml:space="preserve">Οι απαιτήσεις αγροτών ή αγροτικών συνεταιρισμών από πώληση αγροτικών προϊόντων, αν προέκυψαν κατά </w:t>
            </w:r>
            <w:r w:rsidR="00851C08">
              <w:rPr>
                <w:rFonts w:ascii="Verdana" w:eastAsia="Verdana" w:hAnsi="Verdana" w:cs="Verdana"/>
                <w:b/>
              </w:rPr>
              <w:t>τον τελευταίο χρόνο πριν από την ημερομηνία ορισμού του πρώτου πλειστηριασμού ή κήρυξης της πτώχευσης.</w:t>
            </w:r>
          </w:p>
          <w:p w:rsidR="00851C08" w:rsidRDefault="000C55AE" w:rsidP="00DE3C2E">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Verdana" w:eastAsia="Verdana" w:hAnsi="Verdana" w:cs="Verdana"/>
                <w:b/>
              </w:rPr>
            </w:pPr>
            <w:r w:rsidRPr="000C55AE">
              <w:rPr>
                <w:rFonts w:ascii="Verdana" w:eastAsia="Verdana" w:hAnsi="Verdana" w:cs="Verdana"/>
                <w:b/>
              </w:rPr>
              <w:t>Οι α</w:t>
            </w:r>
            <w:r>
              <w:rPr>
                <w:rFonts w:ascii="Verdana" w:eastAsia="Verdana" w:hAnsi="Verdana" w:cs="Verdana"/>
                <w:b/>
              </w:rPr>
              <w:t>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0C55AE" w:rsidRDefault="000C55AE" w:rsidP="00DE3C2E">
            <w:pPr>
              <w:pStyle w:val="a4"/>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Verdana" w:eastAsia="Verdana" w:hAnsi="Verdana" w:cs="Verdana"/>
                <w:b/>
              </w:rPr>
            </w:pPr>
            <w:r>
              <w:rPr>
                <w:rFonts w:ascii="Verdana" w:eastAsia="Verdana" w:hAnsi="Verdana" w:cs="Verdana"/>
                <w:b/>
              </w:rPr>
              <w:t xml:space="preserve">Οι απαιτήσεις του Συνεγγυητικού κατά του οφειλέτη, εφόσον ο τελευταίος έχει ή είχε στο παρελθόν την ιδιότητα της επιχείρησης παροχής επενδυτικών </w:t>
            </w:r>
            <w:r>
              <w:rPr>
                <w:rFonts w:ascii="Verdana" w:eastAsia="Verdana" w:hAnsi="Verdana" w:cs="Verdana"/>
                <w:b/>
              </w:rPr>
              <w:lastRenderedPageBreak/>
              <w:t xml:space="preserve">υπηρεσιών κατά την έννοια του άρθρου 2 ν. 2396/1996 και οι απαιτήσεις του Συνεγγυητικού έχουν προκύψει εντός δύο (2) ετών πριν από την ημέρα διενέργειας του πλειστηριασμού ή κήρυξης της πτώχευσης. </w:t>
            </w:r>
          </w:p>
          <w:p w:rsidR="00921C7F" w:rsidRDefault="00921C7F" w:rsidP="00921C7F">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p>
          <w:p w:rsidR="00921C7F" w:rsidRDefault="00921C7F" w:rsidP="00921C7F">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r>
              <w:rPr>
                <w:rFonts w:ascii="Verdana" w:eastAsia="Verdana" w:hAnsi="Verdana" w:cs="Verdana"/>
                <w:b/>
              </w:rPr>
              <w:t>Άρθρο 977</w:t>
            </w:r>
          </w:p>
          <w:p w:rsidR="00921C7F" w:rsidRDefault="00921C7F" w:rsidP="00DE3C2E">
            <w:pPr>
              <w:pStyle w:val="a4"/>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113"/>
                <w:tab w:val="num" w:pos="284"/>
              </w:tabs>
              <w:ind w:left="0" w:firstLine="284"/>
              <w:jc w:val="both"/>
              <w:rPr>
                <w:rFonts w:ascii="Verdana" w:eastAsia="Verdana" w:hAnsi="Verdana" w:cs="Verdana"/>
                <w:b/>
              </w:rPr>
            </w:pPr>
            <w:r>
              <w:rPr>
                <w:rFonts w:ascii="Verdana" w:eastAsia="Verdana" w:hAnsi="Verdana" w:cs="Verdana"/>
                <w:b/>
              </w:rPr>
              <w:t xml:space="preserve">Με την επιφύλαξη της </w:t>
            </w:r>
            <w:r w:rsidR="001A612A">
              <w:rPr>
                <w:rFonts w:ascii="Verdana" w:eastAsia="Verdana" w:hAnsi="Verdana" w:cs="Verdana"/>
                <w:b/>
              </w:rPr>
              <w:t xml:space="preserve">παραγράφου 3 του άρθρου αυτού, αν εκτός από τις απαιτήσεις του άρθρου 975 υπάρχουν και οι απαιτήσεις του άρθρου 976 αριθ.3, προτιμώνται οι πρώτες. Αν υπάρχουν και απαιτήσεις του άρθρου 976 αριθ. 1 και 2, τότε οι απαιτήσεις του άρθρου 975 ικανοποιούνται έως το ένα τρίτο του </w:t>
            </w:r>
            <w:proofErr w:type="spellStart"/>
            <w:r w:rsidR="001A612A">
              <w:rPr>
                <w:rFonts w:ascii="Verdana" w:eastAsia="Verdana" w:hAnsi="Verdana" w:cs="Verdana"/>
                <w:b/>
              </w:rPr>
              <w:t>πλειστηριάσματος</w:t>
            </w:r>
            <w:proofErr w:type="spellEnd"/>
            <w:r w:rsidR="001A612A">
              <w:rPr>
                <w:rFonts w:ascii="Verdana" w:eastAsia="Verdana" w:hAnsi="Verdana" w:cs="Verdana"/>
                <w:b/>
              </w:rPr>
              <w:t xml:space="preserve"> που πρέπει να διανεμηθεί στους πιστωτές και τα δύο τρίτα διατίθενται για να ικανοποιηθούν οι απαιτήσεις του άρθρου 976 αριθ. 1 και 2. Από τα υπόλοιπα που απομένουν από το ένα τρίτο ή τα δύο τρίτα, μετά την ικανοποίηση των άρθρων 975 και 976 αριθ.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1A612A" w:rsidRDefault="001A612A" w:rsidP="00DE3C2E">
            <w:pPr>
              <w:pStyle w:val="a4"/>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284"/>
              <w:jc w:val="both"/>
              <w:rPr>
                <w:rFonts w:ascii="Verdana" w:eastAsia="Verdana" w:hAnsi="Verdana" w:cs="Verdana"/>
                <w:b/>
              </w:rPr>
            </w:pPr>
            <w:r>
              <w:rPr>
                <w:rFonts w:ascii="Verdana" w:eastAsia="Verdana" w:hAnsi="Verdana" w:cs="Verdana"/>
                <w:b/>
              </w:rPr>
              <w:t xml:space="preserve">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w:t>
            </w:r>
            <w:r w:rsidR="00701093">
              <w:rPr>
                <w:rFonts w:ascii="Verdana" w:eastAsia="Verdana" w:hAnsi="Verdana" w:cs="Verdana"/>
                <w:b/>
              </w:rPr>
              <w:t>Αν συντρέχουν περισσότερες απαιτήσεις από εκείνες που αναφέρονται  στο άρθρο 976 αριθ. 2, ακολουθείται η κατά το ουσιαστικό δίκαιο σειρά.</w:t>
            </w:r>
          </w:p>
          <w:p w:rsidR="00701093" w:rsidRPr="000C55AE" w:rsidRDefault="00701093" w:rsidP="00DE3C2E">
            <w:pPr>
              <w:pStyle w:val="a4"/>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113"/>
              </w:tabs>
              <w:ind w:left="0" w:firstLine="284"/>
              <w:jc w:val="both"/>
              <w:rPr>
                <w:rFonts w:ascii="Verdana" w:eastAsia="Verdana" w:hAnsi="Verdana" w:cs="Verdana"/>
                <w:b/>
              </w:rPr>
            </w:pPr>
            <w:r>
              <w:rPr>
                <w:rFonts w:ascii="Verdana" w:eastAsia="Verdana" w:hAnsi="Verdana" w:cs="Verdana"/>
                <w:b/>
              </w:rPr>
              <w:t xml:space="preserve">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w:t>
            </w:r>
            <w:r>
              <w:rPr>
                <w:rFonts w:ascii="Verdana" w:eastAsia="Verdana" w:hAnsi="Verdana" w:cs="Verdana"/>
                <w:b/>
              </w:rPr>
              <w:lastRenderedPageBreak/>
              <w:t xml:space="preserve">εκατό (25%) και οι μη προνομιούχες απαιτήσεις έως το δέκα τοις εκατό (10%) του ποσού του </w:t>
            </w:r>
            <w:proofErr w:type="spellStart"/>
            <w:r>
              <w:rPr>
                <w:rFonts w:ascii="Verdana" w:eastAsia="Verdana" w:hAnsi="Verdana" w:cs="Verdana"/>
                <w:b/>
              </w:rPr>
              <w:t>πλειστηριάσματος</w:t>
            </w:r>
            <w:proofErr w:type="spellEnd"/>
            <w:r>
              <w:rPr>
                <w:rFonts w:ascii="Verdana" w:eastAsia="Verdana" w:hAnsi="Verdana" w:cs="Verdana"/>
                <w:b/>
              </w:rPr>
              <w:t xml:space="preserve"> που πρέπει να διανεμηθεί στους πιστωτές συμμέτρως. </w:t>
            </w:r>
            <w:r w:rsidR="007D0749">
              <w:rPr>
                <w:rFonts w:ascii="Verdana" w:eastAsia="Verdana" w:hAnsi="Verdana" w:cs="Verdana"/>
                <w:b/>
              </w:rPr>
              <w:t xml:space="preserve">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w:t>
            </w:r>
            <w:proofErr w:type="spellStart"/>
            <w:r w:rsidR="007D0749">
              <w:rPr>
                <w:rFonts w:ascii="Verdana" w:eastAsia="Verdana" w:hAnsi="Verdana" w:cs="Verdana"/>
                <w:b/>
              </w:rPr>
              <w:t>εγχειρόγραφων</w:t>
            </w:r>
            <w:proofErr w:type="spellEnd"/>
            <w:r w:rsidR="007D0749">
              <w:rPr>
                <w:rFonts w:ascii="Verdana" w:eastAsia="Verdana" w:hAnsi="Verdana" w:cs="Verdana"/>
                <w:b/>
              </w:rPr>
              <w:t xml:space="preserve"> δανειστών ικανοποιούνται οι απαιτήσεις του άρθρου 976 και του άρθρου 975 κατά τα οριζόμενα στο εδάφιο 2 της παραγράφου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w:t>
            </w:r>
            <w:proofErr w:type="spellStart"/>
            <w:r w:rsidR="007D0749">
              <w:rPr>
                <w:rFonts w:ascii="Verdana" w:eastAsia="Verdana" w:hAnsi="Verdana" w:cs="Verdana"/>
                <w:b/>
              </w:rPr>
              <w:t>πλειστηριάσματος</w:t>
            </w:r>
            <w:proofErr w:type="spellEnd"/>
            <w:r w:rsidR="007D0749">
              <w:rPr>
                <w:rFonts w:ascii="Verdana" w:eastAsia="Verdana" w:hAnsi="Verdana" w:cs="Verdana"/>
                <w:b/>
              </w:rPr>
              <w:t xml:space="preserve">,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w:t>
            </w:r>
            <w:proofErr w:type="spellStart"/>
            <w:r w:rsidR="007D0749">
              <w:rPr>
                <w:rFonts w:ascii="Verdana" w:eastAsia="Verdana" w:hAnsi="Verdana" w:cs="Verdana"/>
                <w:b/>
              </w:rPr>
              <w:t>πλειστηριάσματος</w:t>
            </w:r>
            <w:proofErr w:type="spellEnd"/>
            <w:r w:rsidR="007D0749">
              <w:rPr>
                <w:rFonts w:ascii="Verdana" w:eastAsia="Verdana" w:hAnsi="Verdana" w:cs="Verdana"/>
                <w:b/>
              </w:rPr>
              <w:t xml:space="preserve">, που πρέπει να διανεμηθεί στους πιστωτές, ενώ οι μη προνομιούχοι ικανοποιούνται στο υπόλοιπο ποσοστό συμμέτρως. </w:t>
            </w:r>
          </w:p>
        </w:tc>
        <w:tc>
          <w:tcPr>
            <w:tcW w:w="4927" w:type="dxa"/>
          </w:tcPr>
          <w:p w:rsidR="00D9010D" w:rsidRPr="00977EF6" w:rsidRDefault="00D9010D"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977EF6">
              <w:rPr>
                <w:rFonts w:ascii="Verdana" w:eastAsia="Verdana" w:hAnsi="Verdana" w:cs="Verdana"/>
                <w:b/>
                <w:u w:val="single"/>
                <w:lang w:val="en-US"/>
              </w:rPr>
              <w:lastRenderedPageBreak/>
              <w:t>CORPUS</w:t>
            </w:r>
          </w:p>
          <w:p w:rsidR="00D9010D" w:rsidRPr="00470B81" w:rsidRDefault="00470B81"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r w:rsidRPr="00470B81">
              <w:rPr>
                <w:rFonts w:ascii="Verdana" w:eastAsia="Verdana" w:hAnsi="Verdana" w:cs="Verdana"/>
                <w:b/>
              </w:rPr>
              <w:t>Άρθρο 975</w:t>
            </w:r>
          </w:p>
          <w:p w:rsidR="00470B81" w:rsidRPr="0043657F" w:rsidRDefault="00470B81" w:rsidP="00470B81">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r w:rsidRPr="0043657F">
              <w:rPr>
                <w:rFonts w:ascii="Verdana" w:eastAsia="Verdana" w:hAnsi="Verdana" w:cs="Verdana"/>
                <w:b/>
              </w:rPr>
              <w:t>Η κατάταξη των δανειστών στον πίνακα γίνεται με την εξής σειρά. Αφού αφαιρεθούν τα έξοδα της εκτέλεσης</w:t>
            </w:r>
            <w:r>
              <w:rPr>
                <w:rFonts w:ascii="Verdana" w:eastAsia="Verdana" w:hAnsi="Verdana" w:cs="Verdana"/>
                <w:b/>
              </w:rPr>
              <w:t>,</w:t>
            </w:r>
            <w:r w:rsidRPr="0043657F">
              <w:rPr>
                <w:rFonts w:ascii="Verdana" w:eastAsia="Verdana" w:hAnsi="Verdana" w:cs="Verdana"/>
                <w:b/>
              </w:rPr>
              <w:t xml:space="preserve"> που ορίζονται αιτιολογημένα από τον υπάλληλο του πλειστηριασμού, κατατάσσονται :</w:t>
            </w:r>
          </w:p>
          <w:p w:rsidR="00470B81" w:rsidRPr="0043657F" w:rsidRDefault="00470B81" w:rsidP="00470B81">
            <w:pPr>
              <w:pStyle w:val="a4"/>
              <w:pBdr>
                <w:top w:val="none" w:sz="0" w:space="0" w:color="auto"/>
                <w:left w:val="none" w:sz="0" w:space="0" w:color="auto"/>
                <w:bottom w:val="none" w:sz="0" w:space="0" w:color="auto"/>
                <w:right w:val="none" w:sz="0" w:space="0" w:color="auto"/>
                <w:between w:val="none" w:sz="0" w:space="0" w:color="auto"/>
                <w:bar w:val="none" w:sz="0" w:color="auto"/>
              </w:pBdr>
              <w:tabs>
                <w:tab w:val="num" w:pos="753"/>
              </w:tabs>
              <w:ind w:left="35" w:firstLine="283"/>
              <w:jc w:val="both"/>
              <w:rPr>
                <w:rFonts w:ascii="Verdana" w:eastAsia="Verdana" w:hAnsi="Verdana" w:cs="Verdana"/>
              </w:rPr>
            </w:pPr>
            <w:r>
              <w:rPr>
                <w:rFonts w:ascii="Verdana" w:eastAsia="Verdana" w:hAnsi="Verdana" w:cs="Verdana"/>
                <w:b/>
              </w:rPr>
              <w:t xml:space="preserve">1. </w:t>
            </w:r>
            <w:r w:rsidRPr="0043657F">
              <w:rPr>
                <w:rFonts w:ascii="Verdana" w:eastAsia="Verdana" w:hAnsi="Verdana" w:cs="Verdana"/>
                <w:b/>
              </w:rPr>
              <w:t>Οι απαιτήσεις για την κηδεία ή  νοσηλεία εκείνου κατά του οποίου είχε στραφεί η εκτέλεση, τ</w:t>
            </w:r>
            <w:r>
              <w:rPr>
                <w:rFonts w:ascii="Verdana" w:eastAsia="Verdana" w:hAnsi="Verdana" w:cs="Verdana"/>
                <w:b/>
              </w:rPr>
              <w:t>ης</w:t>
            </w:r>
            <w:r w:rsidRPr="0043657F">
              <w:rPr>
                <w:rFonts w:ascii="Verdana" w:eastAsia="Verdana" w:hAnsi="Verdana" w:cs="Verdana"/>
                <w:b/>
              </w:rPr>
              <w:t xml:space="preserve"> συζύγου και των τέκνων του</w:t>
            </w:r>
            <w:r>
              <w:rPr>
                <w:rFonts w:ascii="Verdana" w:eastAsia="Verdana" w:hAnsi="Verdana" w:cs="Verdana"/>
                <w:b/>
              </w:rPr>
              <w:t>ς</w:t>
            </w:r>
            <w:r w:rsidRPr="0043657F">
              <w:rPr>
                <w:rFonts w:ascii="Verdana" w:eastAsia="Verdana" w:hAnsi="Verdana" w:cs="Verdana"/>
                <w:b/>
              </w:rPr>
              <w:t>, αν προέκυψαν κατά τους τελευταίου</w:t>
            </w:r>
            <w:r>
              <w:rPr>
                <w:rFonts w:ascii="Verdana" w:eastAsia="Verdana" w:hAnsi="Verdana" w:cs="Verdana"/>
                <w:b/>
              </w:rPr>
              <w:t>ς</w:t>
            </w:r>
            <w:r w:rsidRPr="0043657F">
              <w:rPr>
                <w:rFonts w:ascii="Verdana" w:eastAsia="Verdana" w:hAnsi="Verdana" w:cs="Verdana"/>
                <w:b/>
              </w:rPr>
              <w:t xml:space="preserve"> δώδεκα (12) μήνες πριν από την ημέρα του πλειστηριασμού</w:t>
            </w:r>
            <w:r>
              <w:rPr>
                <w:rFonts w:ascii="Verdana" w:eastAsia="Verdana" w:hAnsi="Verdana" w:cs="Verdana"/>
                <w:b/>
              </w:rPr>
              <w:t>. Στη ίδια τάξη υπάγονται και οι απαιτήσεις αποζημίωσης των δανειστών, λόγω αναπηρίας ποσοστού ογδόντα τοις εκατό (80%) και άνω, με εξαίρεση την ικανοποίηση για ηθική βλάβη, εφόσον προέκυψαν έως την ημέρα του πλειστηριασμού ή την κήρυξη της πτώχευσης.</w:t>
            </w:r>
          </w:p>
          <w:p w:rsidR="00470B81" w:rsidRPr="0043657F" w:rsidRDefault="00470B81" w:rsidP="00470B81">
            <w:pPr>
              <w:pStyle w:val="a4"/>
              <w:pBdr>
                <w:top w:val="none" w:sz="0" w:space="0" w:color="auto"/>
                <w:left w:val="none" w:sz="0" w:space="0" w:color="auto"/>
                <w:bottom w:val="none" w:sz="0" w:space="0" w:color="auto"/>
                <w:right w:val="none" w:sz="0" w:space="0" w:color="auto"/>
                <w:between w:val="none" w:sz="0" w:space="0" w:color="auto"/>
                <w:bar w:val="none" w:sz="0" w:color="auto"/>
              </w:pBdr>
              <w:tabs>
                <w:tab w:val="num" w:pos="753"/>
              </w:tabs>
              <w:ind w:left="35" w:firstLine="283"/>
              <w:jc w:val="both"/>
              <w:rPr>
                <w:rFonts w:ascii="Verdana" w:eastAsia="Verdana" w:hAnsi="Verdana" w:cs="Verdana"/>
              </w:rPr>
            </w:pPr>
            <w:r>
              <w:rPr>
                <w:rFonts w:ascii="Verdana" w:eastAsia="Verdana" w:hAnsi="Verdana" w:cs="Verdana"/>
                <w:b/>
              </w:rPr>
              <w:t xml:space="preserve">2. Οι απαιτήσεις για την παροχή τροφίμων αναγκαίων για τη συντήρηση εκείνου κατά του οποίου είχε στραφεί η εκτέλεση, της συζύγου και των τέκνων τους, αν προέκυψαν κατά τους τελευταίους έξι (6) μήνες πριν από την ημέρα του πλειστηριασμού. </w:t>
            </w:r>
          </w:p>
          <w:p w:rsidR="00470B81" w:rsidRPr="000258C6" w:rsidRDefault="003A720D" w:rsidP="00470B81">
            <w:pPr>
              <w:pStyle w:val="a4"/>
              <w:pBdr>
                <w:top w:val="none" w:sz="0" w:space="0" w:color="auto"/>
                <w:left w:val="none" w:sz="0" w:space="0" w:color="auto"/>
                <w:bottom w:val="none" w:sz="0" w:space="0" w:color="auto"/>
                <w:right w:val="none" w:sz="0" w:space="0" w:color="auto"/>
                <w:between w:val="none" w:sz="0" w:space="0" w:color="auto"/>
                <w:bar w:val="none" w:sz="0" w:color="auto"/>
              </w:pBdr>
              <w:tabs>
                <w:tab w:val="num" w:pos="753"/>
              </w:tabs>
              <w:jc w:val="both"/>
              <w:rPr>
                <w:rFonts w:ascii="Verdana" w:eastAsia="Verdana" w:hAnsi="Verdana" w:cs="Verdana"/>
              </w:rPr>
            </w:pPr>
            <w:r>
              <w:rPr>
                <w:rFonts w:ascii="Verdana" w:eastAsia="Verdana" w:hAnsi="Verdana" w:cs="Verdana"/>
                <w:b/>
              </w:rPr>
              <w:t xml:space="preserve">   </w:t>
            </w:r>
            <w:r w:rsidR="00470B81">
              <w:rPr>
                <w:rFonts w:ascii="Verdana" w:eastAsia="Verdana" w:hAnsi="Verdana" w:cs="Verdana"/>
                <w:b/>
              </w:rPr>
              <w:t xml:space="preserve">3. Οι απαιτήσεις που έχουν ως βάση τους την παροχή εξαρτημένης </w:t>
            </w:r>
            <w:r w:rsidR="00470B81">
              <w:rPr>
                <w:rFonts w:ascii="Verdana" w:eastAsia="Verdana" w:hAnsi="Verdana" w:cs="Verdana"/>
                <w:b/>
              </w:rPr>
              <w:lastRenderedPageBreak/>
              <w:t>εργασίας, καθώς και οι απαιτήσεις από αμοιβές, έξοδα και αποζημιώσεις των δικηγόρων, που αμείβονται με πάγια περιοδική αμοιβή</w:t>
            </w:r>
            <w:r>
              <w:rPr>
                <w:rFonts w:ascii="Verdana" w:eastAsia="Verdana" w:hAnsi="Verdana" w:cs="Verdana"/>
                <w:b/>
              </w:rPr>
              <w:t xml:space="preserve"> από τον οφειλέτη</w:t>
            </w:r>
            <w:r w:rsidR="00470B81">
              <w:rPr>
                <w:rFonts w:ascii="Verdana" w:eastAsia="Verdana" w:hAnsi="Verdana" w:cs="Verdana"/>
                <w:b/>
              </w:rPr>
              <w:t xml:space="preserve">, εφόσον προέκυψαν μέσα στην τελευταία διετία πριν από την ημερομηνία ορισμού του πλειστηριασμού ή κήρυξης της πτώχευσης. Οι αποζημιώσεις λόγω καταγγελίας της σχέσης </w:t>
            </w:r>
            <w:r>
              <w:rPr>
                <w:rFonts w:ascii="Verdana" w:eastAsia="Verdana" w:hAnsi="Verdana" w:cs="Verdana"/>
                <w:b/>
              </w:rPr>
              <w:t xml:space="preserve">εξαρτημένης </w:t>
            </w:r>
            <w:r w:rsidR="00470B81">
              <w:rPr>
                <w:rFonts w:ascii="Verdana" w:eastAsia="Verdana" w:hAnsi="Verdana" w:cs="Verdana"/>
                <w:b/>
              </w:rPr>
              <w:t>εργασίας, καθώς και οι απαιτήσεις των δικηγόρων για αποζημίωση λόγω λύσης της σύμβασης έμμισθης εντολής</w:t>
            </w:r>
            <w:r>
              <w:rPr>
                <w:rFonts w:ascii="Verdana" w:eastAsia="Verdana" w:hAnsi="Verdana" w:cs="Verdana"/>
                <w:b/>
              </w:rPr>
              <w:t>,</w:t>
            </w:r>
            <w:r w:rsidR="00470B81">
              <w:rPr>
                <w:rFonts w:ascii="Verdana" w:eastAsia="Verdana" w:hAnsi="Verdana" w:cs="Verdana"/>
                <w:b/>
              </w:rPr>
              <w:t xml:space="preserve"> κατατάσσονται στην τάξη αυτή</w:t>
            </w:r>
            <w:r>
              <w:rPr>
                <w:rFonts w:ascii="Verdana" w:eastAsia="Verdana" w:hAnsi="Verdana" w:cs="Verdana"/>
                <w:b/>
              </w:rPr>
              <w:t>,</w:t>
            </w:r>
            <w:r w:rsidR="00470B81">
              <w:rPr>
                <w:rFonts w:ascii="Verdana" w:eastAsia="Verdana" w:hAnsi="Verdana" w:cs="Verdana"/>
                <w:b/>
              </w:rPr>
              <w:t xml:space="preserve"> ανεξ</w:t>
            </w:r>
            <w:r>
              <w:rPr>
                <w:rFonts w:ascii="Verdana" w:eastAsia="Verdana" w:hAnsi="Verdana" w:cs="Verdana"/>
                <w:b/>
              </w:rPr>
              <w:t>αρτήτως</w:t>
            </w:r>
            <w:r w:rsidR="00470B81">
              <w:rPr>
                <w:rFonts w:ascii="Verdana" w:eastAsia="Verdana" w:hAnsi="Verdana" w:cs="Verdana"/>
                <w:b/>
              </w:rPr>
              <w:t xml:space="preserve"> το</w:t>
            </w:r>
            <w:r>
              <w:rPr>
                <w:rFonts w:ascii="Verdana" w:eastAsia="Verdana" w:hAnsi="Verdana" w:cs="Verdana"/>
                <w:b/>
              </w:rPr>
              <w:t>υ</w:t>
            </w:r>
            <w:r w:rsidR="00470B81">
              <w:rPr>
                <w:rFonts w:ascii="Verdana" w:eastAsia="Verdana" w:hAnsi="Verdana" w:cs="Verdana"/>
                <w:b/>
              </w:rPr>
              <w:t xml:space="preserve"> χρόνο</w:t>
            </w:r>
            <w:r>
              <w:rPr>
                <w:rFonts w:ascii="Verdana" w:eastAsia="Verdana" w:hAnsi="Verdana" w:cs="Verdana"/>
                <w:b/>
              </w:rPr>
              <w:t>υ</w:t>
            </w:r>
            <w:r w:rsidR="00470B81">
              <w:rPr>
                <w:rFonts w:ascii="Verdana" w:eastAsia="Verdana" w:hAnsi="Verdana" w:cs="Verdana"/>
                <w:b/>
              </w:rPr>
              <w:t xml:space="preserve"> </w:t>
            </w:r>
            <w:r>
              <w:rPr>
                <w:rFonts w:ascii="Verdana" w:eastAsia="Verdana" w:hAnsi="Verdana" w:cs="Verdana"/>
                <w:b/>
              </w:rPr>
              <w:t>στον οποίο</w:t>
            </w:r>
            <w:r w:rsidR="00470B81">
              <w:rPr>
                <w:rFonts w:ascii="Verdana" w:eastAsia="Verdana" w:hAnsi="Verdana" w:cs="Verdana"/>
                <w:b/>
              </w:rPr>
              <w:t xml:space="preserve"> προέκυψαν.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w:t>
            </w:r>
            <w:r w:rsidR="00A33E52">
              <w:rPr>
                <w:rFonts w:ascii="Verdana" w:eastAsia="Verdana" w:hAnsi="Verdana" w:cs="Verdana"/>
                <w:b/>
              </w:rPr>
              <w:t xml:space="preserve"> αποκλειστικά κατά του οφειλέτη</w:t>
            </w:r>
            <w:r w:rsidR="00470B81">
              <w:rPr>
                <w:rFonts w:ascii="Verdana" w:eastAsia="Verdana" w:hAnsi="Verdana" w:cs="Verdana"/>
                <w:b/>
              </w:rPr>
              <w:t xml:space="preserve">,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w:t>
            </w:r>
            <w:r w:rsidR="00A33E52">
              <w:rPr>
                <w:rFonts w:ascii="Verdana" w:eastAsia="Verdana" w:hAnsi="Verdana" w:cs="Verdana"/>
                <w:b/>
              </w:rPr>
              <w:t xml:space="preserve">μέσα στην τελευταία διετία έως </w:t>
            </w:r>
            <w:r w:rsidR="00470B81">
              <w:rPr>
                <w:rFonts w:ascii="Verdana" w:eastAsia="Verdana" w:hAnsi="Verdana" w:cs="Verdana"/>
                <w:b/>
              </w:rPr>
              <w:t>την ημ</w:t>
            </w:r>
            <w:r w:rsidR="00A33E52">
              <w:rPr>
                <w:rFonts w:ascii="Verdana" w:eastAsia="Verdana" w:hAnsi="Verdana" w:cs="Verdana"/>
                <w:b/>
              </w:rPr>
              <w:t xml:space="preserve">ερομηνία </w:t>
            </w:r>
            <w:r w:rsidR="00470B81">
              <w:rPr>
                <w:rFonts w:ascii="Verdana" w:eastAsia="Verdana" w:hAnsi="Verdana" w:cs="Verdana"/>
                <w:b/>
              </w:rPr>
              <w:t>του πλειστηριασμού ή την κήρυξης της πτώχευσης.</w:t>
            </w:r>
          </w:p>
          <w:p w:rsidR="00470B81" w:rsidRPr="00851C08" w:rsidRDefault="00470B81" w:rsidP="00DE3C2E">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93"/>
                <w:tab w:val="num" w:pos="35"/>
                <w:tab w:val="num" w:pos="753"/>
              </w:tabs>
              <w:ind w:left="35" w:firstLine="0"/>
              <w:jc w:val="both"/>
              <w:rPr>
                <w:rFonts w:ascii="Verdana" w:eastAsia="Verdana" w:hAnsi="Verdana" w:cs="Verdana"/>
              </w:rPr>
            </w:pPr>
            <w:r>
              <w:rPr>
                <w:rFonts w:ascii="Verdana" w:eastAsia="Verdana" w:hAnsi="Verdana" w:cs="Verdana"/>
                <w:b/>
              </w:rPr>
              <w:t>Οι απαιτήσεις αγροτών ή αγροτικών συνεταιρισμών από πώληση αγροτικών προϊόντων, αν προέκυψαν κατά το</w:t>
            </w:r>
            <w:r w:rsidR="00A33E52">
              <w:rPr>
                <w:rFonts w:ascii="Verdana" w:eastAsia="Verdana" w:hAnsi="Verdana" w:cs="Verdana"/>
                <w:b/>
              </w:rPr>
              <w:t>υς</w:t>
            </w:r>
            <w:r>
              <w:rPr>
                <w:rFonts w:ascii="Verdana" w:eastAsia="Verdana" w:hAnsi="Verdana" w:cs="Verdana"/>
                <w:b/>
              </w:rPr>
              <w:t xml:space="preserve"> τελευταίο</w:t>
            </w:r>
            <w:r w:rsidR="00A33E52">
              <w:rPr>
                <w:rFonts w:ascii="Verdana" w:eastAsia="Verdana" w:hAnsi="Verdana" w:cs="Verdana"/>
                <w:b/>
              </w:rPr>
              <w:t xml:space="preserve">υς είκοσι τέσσερις (24) μήνες </w:t>
            </w:r>
            <w:r>
              <w:rPr>
                <w:rFonts w:ascii="Verdana" w:eastAsia="Verdana" w:hAnsi="Verdana" w:cs="Verdana"/>
                <w:b/>
              </w:rPr>
              <w:t>πριν από την ημ</w:t>
            </w:r>
            <w:r w:rsidR="00A33E52">
              <w:rPr>
                <w:rFonts w:ascii="Verdana" w:eastAsia="Verdana" w:hAnsi="Verdana" w:cs="Verdana"/>
                <w:b/>
              </w:rPr>
              <w:t xml:space="preserve">έρα </w:t>
            </w:r>
            <w:r>
              <w:rPr>
                <w:rFonts w:ascii="Verdana" w:eastAsia="Verdana" w:hAnsi="Verdana" w:cs="Verdana"/>
                <w:b/>
              </w:rPr>
              <w:t>του πλειστηριασμού</w:t>
            </w:r>
            <w:r w:rsidR="00A33E52">
              <w:rPr>
                <w:rFonts w:ascii="Verdana" w:eastAsia="Verdana" w:hAnsi="Verdana" w:cs="Verdana"/>
                <w:b/>
              </w:rPr>
              <w:t>.</w:t>
            </w:r>
          </w:p>
          <w:p w:rsidR="00470B81" w:rsidRDefault="00470B81" w:rsidP="00DE3C2E">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93"/>
                <w:tab w:val="num" w:pos="35"/>
                <w:tab w:val="num" w:pos="753"/>
              </w:tabs>
              <w:ind w:left="35" w:firstLine="0"/>
              <w:jc w:val="both"/>
              <w:rPr>
                <w:rFonts w:ascii="Verdana" w:eastAsia="Verdana" w:hAnsi="Verdana" w:cs="Verdana"/>
                <w:b/>
              </w:rPr>
            </w:pPr>
            <w:r w:rsidRPr="000C55AE">
              <w:rPr>
                <w:rFonts w:ascii="Verdana" w:eastAsia="Verdana" w:hAnsi="Verdana" w:cs="Verdana"/>
                <w:b/>
              </w:rPr>
              <w:t>Οι α</w:t>
            </w:r>
            <w:r>
              <w:rPr>
                <w:rFonts w:ascii="Verdana" w:eastAsia="Verdana" w:hAnsi="Verdana" w:cs="Verdana"/>
                <w:b/>
              </w:rPr>
              <w:t>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470B81" w:rsidRDefault="00470B81" w:rsidP="00DE3C2E">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93"/>
                <w:tab w:val="num" w:pos="35"/>
                <w:tab w:val="num" w:pos="753"/>
              </w:tabs>
              <w:ind w:left="35" w:firstLine="0"/>
              <w:jc w:val="both"/>
              <w:rPr>
                <w:rFonts w:ascii="Verdana" w:eastAsia="Verdana" w:hAnsi="Verdana" w:cs="Verdana"/>
                <w:b/>
              </w:rPr>
            </w:pPr>
            <w:r>
              <w:rPr>
                <w:rFonts w:ascii="Verdana" w:eastAsia="Verdana" w:hAnsi="Verdana" w:cs="Verdana"/>
                <w:b/>
              </w:rPr>
              <w:t xml:space="preserve">Οι απαιτήσεις του Συνεγγυητικού κατά του οφειλέτη, εφόσον ο τελευταίος έχει ή είχε στο παρελθόν την ιδιότητα της </w:t>
            </w:r>
            <w:r>
              <w:rPr>
                <w:rFonts w:ascii="Verdana" w:eastAsia="Verdana" w:hAnsi="Verdana" w:cs="Verdana"/>
                <w:b/>
              </w:rPr>
              <w:lastRenderedPageBreak/>
              <w:t xml:space="preserve">επιχείρησης παροχής επενδυτικών υπηρεσιών κατά την έννοια του άρθρου 2 </w:t>
            </w:r>
            <w:r w:rsidR="00CD7896">
              <w:rPr>
                <w:rFonts w:ascii="Verdana" w:eastAsia="Verdana" w:hAnsi="Verdana" w:cs="Verdana"/>
                <w:b/>
              </w:rPr>
              <w:t xml:space="preserve">του </w:t>
            </w:r>
            <w:r>
              <w:rPr>
                <w:rFonts w:ascii="Verdana" w:eastAsia="Verdana" w:hAnsi="Verdana" w:cs="Verdana"/>
                <w:b/>
              </w:rPr>
              <w:t xml:space="preserve">ν. 2396/1996 και οι απαιτήσεις του Συνεγγυητικού </w:t>
            </w:r>
            <w:r w:rsidR="00CD7896">
              <w:rPr>
                <w:rFonts w:ascii="Verdana" w:eastAsia="Verdana" w:hAnsi="Verdana" w:cs="Verdana"/>
                <w:b/>
              </w:rPr>
              <w:t xml:space="preserve">εφόσον </w:t>
            </w:r>
            <w:r>
              <w:rPr>
                <w:rFonts w:ascii="Verdana" w:eastAsia="Verdana" w:hAnsi="Verdana" w:cs="Verdana"/>
                <w:b/>
              </w:rPr>
              <w:t>έχουν προκύψει εντός δύο (2) ετών πριν από την ημ</w:t>
            </w:r>
            <w:r w:rsidR="00CD7896">
              <w:rPr>
                <w:rFonts w:ascii="Verdana" w:eastAsia="Verdana" w:hAnsi="Verdana" w:cs="Verdana"/>
                <w:b/>
              </w:rPr>
              <w:t xml:space="preserve">ερομηνία </w:t>
            </w:r>
            <w:r>
              <w:rPr>
                <w:rFonts w:ascii="Verdana" w:eastAsia="Verdana" w:hAnsi="Verdana" w:cs="Verdana"/>
                <w:b/>
              </w:rPr>
              <w:t xml:space="preserve"> διενέργειας του πλειστηριασμού ή κήρυξης της πτώχευσης. </w:t>
            </w:r>
          </w:p>
          <w:p w:rsidR="00470B81" w:rsidRDefault="00470B81" w:rsidP="00470B81">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p>
          <w:p w:rsidR="00470B81" w:rsidRDefault="00470B81" w:rsidP="00470B81">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rPr>
            </w:pPr>
            <w:r>
              <w:rPr>
                <w:rFonts w:ascii="Verdana" w:eastAsia="Verdana" w:hAnsi="Verdana" w:cs="Verdana"/>
                <w:b/>
              </w:rPr>
              <w:t>Άρθρο 977</w:t>
            </w:r>
          </w:p>
          <w:p w:rsidR="00470B81" w:rsidRDefault="00CD7896" w:rsidP="00DE3C2E">
            <w:pPr>
              <w:pStyle w:val="a4"/>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113"/>
                <w:tab w:val="num" w:pos="284"/>
              </w:tabs>
              <w:ind w:left="0" w:firstLine="284"/>
              <w:jc w:val="both"/>
              <w:rPr>
                <w:rFonts w:ascii="Verdana" w:eastAsia="Verdana" w:hAnsi="Verdana" w:cs="Verdana"/>
                <w:b/>
              </w:rPr>
            </w:pPr>
            <w:r>
              <w:rPr>
                <w:rFonts w:ascii="Verdana" w:eastAsia="Verdana" w:hAnsi="Verdana" w:cs="Verdana"/>
                <w:b/>
              </w:rPr>
              <w:t xml:space="preserve">Αν εκτός από τις απαιτήσεις του άρθρου </w:t>
            </w:r>
            <w:r w:rsidR="00470B81">
              <w:rPr>
                <w:rFonts w:ascii="Verdana" w:eastAsia="Verdana" w:hAnsi="Verdana" w:cs="Verdana"/>
                <w:b/>
              </w:rPr>
              <w:t>975 υπάρχουν και απαιτήσεις του άρθρου 976 αριθ.</w:t>
            </w:r>
            <w:r>
              <w:rPr>
                <w:rFonts w:ascii="Verdana" w:eastAsia="Verdana" w:hAnsi="Verdana" w:cs="Verdana"/>
                <w:b/>
              </w:rPr>
              <w:t xml:space="preserve"> </w:t>
            </w:r>
            <w:r w:rsidR="00470B81">
              <w:rPr>
                <w:rFonts w:ascii="Verdana" w:eastAsia="Verdana" w:hAnsi="Verdana" w:cs="Verdana"/>
                <w:b/>
              </w:rPr>
              <w:t xml:space="preserve">3, προτιμώνται οι πρώτες. Αν </w:t>
            </w:r>
            <w:r>
              <w:rPr>
                <w:rFonts w:ascii="Verdana" w:eastAsia="Verdana" w:hAnsi="Verdana" w:cs="Verdana"/>
                <w:b/>
              </w:rPr>
              <w:t xml:space="preserve">συρρέουν </w:t>
            </w:r>
            <w:r w:rsidR="00470B81">
              <w:rPr>
                <w:rFonts w:ascii="Verdana" w:eastAsia="Verdana" w:hAnsi="Verdana" w:cs="Verdana"/>
                <w:b/>
              </w:rPr>
              <w:t xml:space="preserve">απαιτήσεις του άρθρου </w:t>
            </w:r>
            <w:r>
              <w:rPr>
                <w:rFonts w:ascii="Verdana" w:eastAsia="Verdana" w:hAnsi="Verdana" w:cs="Verdana"/>
                <w:b/>
              </w:rPr>
              <w:t xml:space="preserve">975 έως 3 με απαιτήσεις του </w:t>
            </w:r>
            <w:r w:rsidR="00470B81">
              <w:rPr>
                <w:rFonts w:ascii="Verdana" w:eastAsia="Verdana" w:hAnsi="Verdana" w:cs="Verdana"/>
                <w:b/>
              </w:rPr>
              <w:t>976 αριθ. 1 και 2, τότε οι απαιτήσεις του άρθρου 975</w:t>
            </w:r>
            <w:r>
              <w:rPr>
                <w:rFonts w:ascii="Verdana" w:eastAsia="Verdana" w:hAnsi="Verdana" w:cs="Verdana"/>
                <w:b/>
              </w:rPr>
              <w:t xml:space="preserve"> αριθ. 1 έως 3</w:t>
            </w:r>
            <w:r w:rsidR="00470B81">
              <w:rPr>
                <w:rFonts w:ascii="Verdana" w:eastAsia="Verdana" w:hAnsi="Verdana" w:cs="Verdana"/>
                <w:b/>
              </w:rPr>
              <w:t xml:space="preserve"> ικανοποιούνται έως τ</w:t>
            </w:r>
            <w:r>
              <w:rPr>
                <w:rFonts w:ascii="Verdana" w:eastAsia="Verdana" w:hAnsi="Verdana" w:cs="Verdana"/>
                <w:b/>
              </w:rPr>
              <w:t xml:space="preserve">α δύο τρίτα (2/3) του ποσού </w:t>
            </w:r>
            <w:r w:rsidR="00470B81">
              <w:rPr>
                <w:rFonts w:ascii="Verdana" w:eastAsia="Verdana" w:hAnsi="Verdana" w:cs="Verdana"/>
                <w:b/>
              </w:rPr>
              <w:t xml:space="preserve">του </w:t>
            </w:r>
            <w:proofErr w:type="spellStart"/>
            <w:r w:rsidR="00470B81">
              <w:rPr>
                <w:rFonts w:ascii="Verdana" w:eastAsia="Verdana" w:hAnsi="Verdana" w:cs="Verdana"/>
                <w:b/>
              </w:rPr>
              <w:t>πλειστηριάσματος</w:t>
            </w:r>
            <w:proofErr w:type="spellEnd"/>
            <w:r w:rsidR="00470B81">
              <w:rPr>
                <w:rFonts w:ascii="Verdana" w:eastAsia="Verdana" w:hAnsi="Verdana" w:cs="Verdana"/>
                <w:b/>
              </w:rPr>
              <w:t xml:space="preserve"> που πρέπει να διανεμηθεί στους πιστωτές και τ</w:t>
            </w:r>
            <w:r>
              <w:rPr>
                <w:rFonts w:ascii="Verdana" w:eastAsia="Verdana" w:hAnsi="Verdana" w:cs="Verdana"/>
                <w:b/>
              </w:rPr>
              <w:t xml:space="preserve">ο ένα τρίτο (1/3) </w:t>
            </w:r>
            <w:r w:rsidR="00470B81">
              <w:rPr>
                <w:rFonts w:ascii="Verdana" w:eastAsia="Verdana" w:hAnsi="Verdana" w:cs="Verdana"/>
                <w:b/>
              </w:rPr>
              <w:t>διατίθεται για να ικανοποιηθούν οι απαιτήσεις του άρθρου 976 αριθ. 1 και 2. Από τα υπόλοιπα που απ</w:t>
            </w:r>
            <w:r w:rsidR="008D6322">
              <w:rPr>
                <w:rFonts w:ascii="Verdana" w:eastAsia="Verdana" w:hAnsi="Verdana" w:cs="Verdana"/>
                <w:b/>
              </w:rPr>
              <w:t>όμειναν</w:t>
            </w:r>
            <w:r w:rsidR="00470B81">
              <w:rPr>
                <w:rFonts w:ascii="Verdana" w:eastAsia="Verdana" w:hAnsi="Verdana" w:cs="Verdana"/>
                <w:b/>
              </w:rPr>
              <w:t xml:space="preserve"> από τ</w:t>
            </w:r>
            <w:r w:rsidR="008D6322">
              <w:rPr>
                <w:rFonts w:ascii="Verdana" w:eastAsia="Verdana" w:hAnsi="Verdana" w:cs="Verdana"/>
                <w:b/>
              </w:rPr>
              <w:t xml:space="preserve">α δύο τρίτα (2/3) ή από το ένα τρίτο (1/3), </w:t>
            </w:r>
            <w:r w:rsidR="00470B81">
              <w:rPr>
                <w:rFonts w:ascii="Verdana" w:eastAsia="Verdana" w:hAnsi="Verdana" w:cs="Verdana"/>
                <w:b/>
              </w:rPr>
              <w:t xml:space="preserve">μετά την ικανοποίηση των </w:t>
            </w:r>
            <w:r w:rsidR="008D6322">
              <w:rPr>
                <w:rFonts w:ascii="Verdana" w:eastAsia="Verdana" w:hAnsi="Verdana" w:cs="Verdana"/>
                <w:b/>
              </w:rPr>
              <w:t xml:space="preserve">απαιτήσεων των </w:t>
            </w:r>
            <w:r w:rsidR="00470B81">
              <w:rPr>
                <w:rFonts w:ascii="Verdana" w:eastAsia="Verdana" w:hAnsi="Verdana" w:cs="Verdana"/>
                <w:b/>
              </w:rPr>
              <w:t xml:space="preserve">άρθρων 975 </w:t>
            </w:r>
            <w:r w:rsidR="008D6322">
              <w:rPr>
                <w:rFonts w:ascii="Verdana" w:eastAsia="Verdana" w:hAnsi="Verdana" w:cs="Verdana"/>
                <w:b/>
              </w:rPr>
              <w:t xml:space="preserve">αριθ. 1 έως 3 </w:t>
            </w:r>
            <w:r w:rsidR="00470B81">
              <w:rPr>
                <w:rFonts w:ascii="Verdana" w:eastAsia="Verdana" w:hAnsi="Verdana" w:cs="Verdana"/>
                <w:b/>
              </w:rPr>
              <w:t>και 976 αριθ. 1 και 2 κατά το προηγούμενο εδάφιο, κατατάσσονται, ώσπου να καλυφθούν, οι απαιτήσεις της άλλης από τις προαναφερόμενες  κατηγορίες, που δεν έχουν ικανοποιηθεί.</w:t>
            </w:r>
            <w:r w:rsidR="008D6322">
              <w:rPr>
                <w:rFonts w:ascii="Verdana" w:eastAsia="Verdana" w:hAnsi="Verdana" w:cs="Verdana"/>
                <w:b/>
              </w:rPr>
              <w:t xml:space="preserve"> Αν παραμένει υπόλοιπο </w:t>
            </w:r>
            <w:proofErr w:type="spellStart"/>
            <w:r w:rsidR="008D6322">
              <w:rPr>
                <w:rFonts w:ascii="Verdana" w:eastAsia="Verdana" w:hAnsi="Verdana" w:cs="Verdana"/>
                <w:b/>
              </w:rPr>
              <w:t>πλειστηριάσματος</w:t>
            </w:r>
            <w:proofErr w:type="spellEnd"/>
            <w:r w:rsidR="008D6322">
              <w:rPr>
                <w:rFonts w:ascii="Verdana" w:eastAsia="Verdana" w:hAnsi="Verdana" w:cs="Verdana"/>
                <w:b/>
              </w:rPr>
              <w:t xml:space="preserve"> κατανέμεται κατά τα δύο τρίτα (2/3) στις απαιτήσεις του άρθρου 976 </w:t>
            </w:r>
            <w:r w:rsidR="00B07A75">
              <w:rPr>
                <w:rFonts w:ascii="Verdana" w:eastAsia="Verdana" w:hAnsi="Verdana" w:cs="Verdana"/>
                <w:b/>
              </w:rPr>
              <w:t xml:space="preserve">αριθ. </w:t>
            </w:r>
            <w:r w:rsidR="008D6322">
              <w:rPr>
                <w:rFonts w:ascii="Verdana" w:eastAsia="Verdana" w:hAnsi="Verdana" w:cs="Verdana"/>
                <w:b/>
              </w:rPr>
              <w:t xml:space="preserve">1 και </w:t>
            </w:r>
            <w:r w:rsidR="00B07A75">
              <w:rPr>
                <w:rFonts w:ascii="Verdana" w:eastAsia="Verdana" w:hAnsi="Verdana" w:cs="Verdana"/>
                <w:b/>
              </w:rPr>
              <w:t xml:space="preserve">2 και κατά το 1/3 (ένα τρίτο) στις απαιτήσεις του άρθρου 975 </w:t>
            </w:r>
            <w:proofErr w:type="spellStart"/>
            <w:r w:rsidR="00B07A75">
              <w:rPr>
                <w:rFonts w:ascii="Verdana" w:eastAsia="Verdana" w:hAnsi="Verdana" w:cs="Verdana"/>
                <w:b/>
              </w:rPr>
              <w:t>αρθ</w:t>
            </w:r>
            <w:proofErr w:type="spellEnd"/>
            <w:r w:rsidR="00B07A75">
              <w:rPr>
                <w:rFonts w:ascii="Verdana" w:eastAsia="Verdana" w:hAnsi="Verdana" w:cs="Verdana"/>
                <w:b/>
              </w:rPr>
              <w:t>. 4,5,6.</w:t>
            </w:r>
          </w:p>
          <w:p w:rsidR="00470B81" w:rsidRDefault="00B07A75" w:rsidP="00DE3C2E">
            <w:pPr>
              <w:pStyle w:val="a4"/>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284"/>
              <w:jc w:val="both"/>
              <w:rPr>
                <w:rFonts w:ascii="Verdana" w:eastAsia="Verdana" w:hAnsi="Verdana" w:cs="Verdana"/>
                <w:b/>
              </w:rPr>
            </w:pPr>
            <w:r>
              <w:rPr>
                <w:rFonts w:ascii="Verdana" w:eastAsia="Verdana" w:hAnsi="Verdana" w:cs="Verdana"/>
                <w:b/>
              </w:rPr>
              <w:t xml:space="preserve">Αν υπάρχουν περισσότερες απαιτήσεις από αυτές που αναφέρονται </w:t>
            </w:r>
            <w:r w:rsidR="00470B81">
              <w:rPr>
                <w:rFonts w:ascii="Verdana" w:eastAsia="Verdana" w:hAnsi="Verdana" w:cs="Verdana"/>
                <w:b/>
              </w:rPr>
              <w:t>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 2, ακολουθείται η κατά το ουσιαστικό δίκαιο σειρά.</w:t>
            </w:r>
          </w:p>
          <w:p w:rsidR="00470B81" w:rsidRPr="00977EF6" w:rsidRDefault="00B07A75" w:rsidP="00B07A75">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r>
              <w:rPr>
                <w:rFonts w:ascii="Verdana" w:eastAsia="Verdana" w:hAnsi="Verdana" w:cs="Verdana"/>
                <w:b/>
              </w:rPr>
              <w:t xml:space="preserve">3. Το ποσό που απομένει μετά την ικανοποίηση των απαιτήσεων </w:t>
            </w:r>
            <w:r w:rsidR="00470B81">
              <w:rPr>
                <w:rFonts w:ascii="Verdana" w:eastAsia="Verdana" w:hAnsi="Verdana" w:cs="Verdana"/>
                <w:b/>
              </w:rPr>
              <w:t>τ</w:t>
            </w:r>
            <w:r>
              <w:rPr>
                <w:rFonts w:ascii="Verdana" w:eastAsia="Verdana" w:hAnsi="Verdana" w:cs="Verdana"/>
                <w:b/>
              </w:rPr>
              <w:t>ων</w:t>
            </w:r>
            <w:r w:rsidR="00470B81">
              <w:rPr>
                <w:rFonts w:ascii="Verdana" w:eastAsia="Verdana" w:hAnsi="Verdana" w:cs="Verdana"/>
                <w:b/>
              </w:rPr>
              <w:t xml:space="preserve"> άρθρ</w:t>
            </w:r>
            <w:r>
              <w:rPr>
                <w:rFonts w:ascii="Verdana" w:eastAsia="Verdana" w:hAnsi="Verdana" w:cs="Verdana"/>
                <w:b/>
              </w:rPr>
              <w:t xml:space="preserve">ων </w:t>
            </w:r>
            <w:r w:rsidR="00470B81">
              <w:rPr>
                <w:rFonts w:ascii="Verdana" w:eastAsia="Verdana" w:hAnsi="Verdana" w:cs="Verdana"/>
                <w:b/>
              </w:rPr>
              <w:t>975 και 976</w:t>
            </w:r>
            <w:r>
              <w:rPr>
                <w:rFonts w:ascii="Verdana" w:eastAsia="Verdana" w:hAnsi="Verdana" w:cs="Verdana"/>
                <w:b/>
              </w:rPr>
              <w:t xml:space="preserve"> διανέμεται </w:t>
            </w:r>
            <w:r>
              <w:rPr>
                <w:rFonts w:ascii="Verdana" w:eastAsia="Verdana" w:hAnsi="Verdana" w:cs="Verdana"/>
                <w:b/>
              </w:rPr>
              <w:lastRenderedPageBreak/>
              <w:t xml:space="preserve">συμμέτρως στους υπόλοιπους δανειστές που έχουν αναγγελθεί. </w:t>
            </w:r>
          </w:p>
        </w:tc>
      </w:tr>
    </w:tbl>
    <w:p w:rsidR="004C68FB" w:rsidRPr="00D9010D" w:rsidRDefault="004C68FB" w:rsidP="004C68FB">
      <w:pPr>
        <w:pStyle w:val="a4"/>
        <w:jc w:val="both"/>
        <w:rPr>
          <w:rFonts w:ascii="Verdana" w:eastAsia="Verdana" w:hAnsi="Verdana" w:cs="Verdana"/>
        </w:rPr>
      </w:pPr>
    </w:p>
    <w:p w:rsidR="00D9010D" w:rsidRPr="00D9010D" w:rsidRDefault="00D9010D" w:rsidP="004C68FB">
      <w:pPr>
        <w:pStyle w:val="a4"/>
        <w:jc w:val="both"/>
        <w:rPr>
          <w:rFonts w:ascii="Verdana" w:eastAsia="Verdana" w:hAnsi="Verdana" w:cs="Verdana"/>
        </w:rPr>
      </w:pPr>
    </w:p>
    <w:p w:rsidR="00D9010D" w:rsidRPr="00C3784E" w:rsidRDefault="00D9010D" w:rsidP="004C68FB">
      <w:pPr>
        <w:pStyle w:val="a4"/>
        <w:jc w:val="both"/>
        <w:rPr>
          <w:rFonts w:ascii="Verdana" w:eastAsia="Verdana" w:hAnsi="Verdana" w:cs="Verdana"/>
          <w:sz w:val="8"/>
        </w:rPr>
      </w:pPr>
    </w:p>
    <w:p w:rsidR="008068F7" w:rsidRPr="00D9010D" w:rsidRDefault="00633AAC" w:rsidP="00DE3C2E">
      <w:pPr>
        <w:pStyle w:val="a4"/>
        <w:numPr>
          <w:ilvl w:val="0"/>
          <w:numId w:val="4"/>
        </w:numPr>
        <w:jc w:val="both"/>
        <w:rPr>
          <w:rFonts w:ascii="Verdana" w:eastAsia="Verdana" w:hAnsi="Verdana" w:cs="Verdana"/>
        </w:rPr>
      </w:pPr>
      <w:r w:rsidRPr="004663FE">
        <w:rPr>
          <w:rFonts w:ascii="Verdana" w:hAnsi="Verdana"/>
          <w:b/>
        </w:rPr>
        <w:t>Άρθρο 979 παρ. 2:</w:t>
      </w:r>
      <w:r w:rsidRPr="00D9010D">
        <w:rPr>
          <w:rFonts w:ascii="Verdana"/>
        </w:rPr>
        <w:t xml:space="preserve"> </w:t>
      </w:r>
      <w:r w:rsidRPr="00D9010D">
        <w:t>Στο σχέδιο νόμου απαντά τροποποίηση της εν λόγω παραγράφου</w:t>
      </w:r>
      <w:r w:rsidRPr="00D9010D">
        <w:rPr>
          <w:rFonts w:ascii="Verdana"/>
        </w:rPr>
        <w:t xml:space="preserve">, </w:t>
      </w:r>
      <w:r w:rsidRPr="00D9010D">
        <w:t xml:space="preserve">ενώ στο </w:t>
      </w:r>
      <w:r w:rsidRPr="00D9010D">
        <w:rPr>
          <w:rFonts w:ascii="Verdana"/>
          <w:lang w:val="en-US"/>
        </w:rPr>
        <w:t>Corpus</w:t>
      </w:r>
      <w:r w:rsidRPr="00D9010D">
        <w:t xml:space="preserve"> όχι</w:t>
      </w:r>
      <w:r w:rsidRPr="00D9010D">
        <w:rPr>
          <w:rFonts w:ascii="Verdana"/>
        </w:rPr>
        <w:t>.</w:t>
      </w:r>
    </w:p>
    <w:p w:rsidR="004C68FB" w:rsidRPr="00D9010D" w:rsidRDefault="004C68FB" w:rsidP="004C68FB">
      <w:pPr>
        <w:pStyle w:val="a4"/>
        <w:jc w:val="both"/>
        <w:rPr>
          <w:rFonts w:ascii="Verdana" w:eastAsia="Verdana" w:hAnsi="Verdana" w:cs="Verdana"/>
        </w:rPr>
      </w:pPr>
    </w:p>
    <w:tbl>
      <w:tblPr>
        <w:tblStyle w:val="a6"/>
        <w:tblW w:w="0" w:type="auto"/>
        <w:tblLook w:val="04A0"/>
      </w:tblPr>
      <w:tblGrid>
        <w:gridCol w:w="4927"/>
        <w:gridCol w:w="4927"/>
      </w:tblGrid>
      <w:tr w:rsidR="008F12CF" w:rsidRPr="00681567" w:rsidTr="008F12CF">
        <w:tc>
          <w:tcPr>
            <w:tcW w:w="4927" w:type="dxa"/>
          </w:tcPr>
          <w:p w:rsidR="008F12CF" w:rsidRDefault="008F12CF"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8F12CF">
              <w:rPr>
                <w:rFonts w:ascii="Verdana" w:eastAsia="Verdana" w:hAnsi="Verdana" w:cs="Verdana"/>
                <w:b/>
                <w:u w:val="single"/>
              </w:rPr>
              <w:t>ΣΧΕΔΙΟ ΝΟΜΟΥ</w:t>
            </w:r>
          </w:p>
          <w:p w:rsidR="00C94E1C" w:rsidRPr="0022649E" w:rsidRDefault="0022649E" w:rsidP="0022649E">
            <w:pPr>
              <w:pStyle w:val="a4"/>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Verdana" w:eastAsia="Verdana" w:hAnsi="Verdana" w:cs="Verdana"/>
              </w:rPr>
            </w:pPr>
            <w:r>
              <w:rPr>
                <w:rFonts w:ascii="Verdana" w:eastAsia="Verdana" w:hAnsi="Verdana" w:cs="Verdana"/>
              </w:rPr>
              <w:t xml:space="preserve">2. Μέσα σε δώδεκα εργάσιμες ημέρες αφότου επιδοθεί η πρόσκληση της παρ. 1 οποιοσδήποτε έχει έννομο συμφέρον μπορεί να ανακόψει τον πίνακα της κατάταξης, οπότε εφαρμόζονται τα άρθρα 933 </w:t>
            </w:r>
            <w:proofErr w:type="spellStart"/>
            <w:r>
              <w:rPr>
                <w:rFonts w:ascii="Verdana" w:eastAsia="Verdana" w:hAnsi="Verdana" w:cs="Verdana"/>
              </w:rPr>
              <w:t>επ</w:t>
            </w:r>
            <w:proofErr w:type="spellEnd"/>
            <w:r>
              <w:rPr>
                <w:rFonts w:ascii="Verdana" w:eastAsia="Verdana" w:hAnsi="Verdana" w:cs="Verdana"/>
              </w:rPr>
              <w:t xml:space="preserve">. Αντίγραφο της ανακοπής επιδίδεται, μέσα στην ίδια προθεσμία, και στον υπάλληλο του πλειστηριασμού. </w:t>
            </w:r>
            <w:r>
              <w:rPr>
                <w:rFonts w:ascii="Verdana" w:eastAsia="Verdana" w:hAnsi="Verdana" w:cs="Verdana"/>
                <w:b/>
              </w:rPr>
              <w:t xml:space="preserve">Κατά της απόφασης που εκδίδεται </w:t>
            </w:r>
            <w:r>
              <w:rPr>
                <w:rFonts w:ascii="Verdana" w:eastAsia="Verdana" w:hAnsi="Verdana" w:cs="Verdana"/>
                <w:b/>
              </w:rPr>
              <w:lastRenderedPageBreak/>
              <w:t xml:space="preserve">επιτρέπεται η άσκηση όλων των ενδίκων μέσων πλην της ανακοπής ερημοδικίας. </w:t>
            </w:r>
            <w:r>
              <w:rPr>
                <w:rFonts w:ascii="Verdana" w:eastAsia="Verdana" w:hAnsi="Verdana" w:cs="Verdana"/>
              </w:rPr>
              <w:t xml:space="preserve">Η ανακοπή στρέφεται κατά τον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 </w:t>
            </w:r>
          </w:p>
          <w:p w:rsidR="00C94E1C" w:rsidRDefault="00C94E1C" w:rsidP="00C94E1C">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p>
          <w:p w:rsidR="00C94E1C" w:rsidRPr="00C94E1C" w:rsidRDefault="00C94E1C" w:rsidP="00C94E1C">
            <w:pPr>
              <w:pStyle w:val="a4"/>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Verdana" w:eastAsia="Verdana" w:hAnsi="Verdana" w:cs="Verdana"/>
              </w:rPr>
            </w:pPr>
          </w:p>
          <w:p w:rsidR="008F12CF" w:rsidRPr="001A612A" w:rsidRDefault="008F12CF"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p>
        </w:tc>
        <w:tc>
          <w:tcPr>
            <w:tcW w:w="4927" w:type="dxa"/>
          </w:tcPr>
          <w:p w:rsidR="008F12CF" w:rsidRPr="0022649E" w:rsidRDefault="008F12CF" w:rsidP="004C68FB">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8F12CF">
              <w:rPr>
                <w:rFonts w:ascii="Verdana" w:eastAsia="Verdana" w:hAnsi="Verdana" w:cs="Verdana"/>
                <w:b/>
                <w:u w:val="single"/>
                <w:lang w:val="en-US"/>
              </w:rPr>
              <w:lastRenderedPageBreak/>
              <w:t>CORPUS</w:t>
            </w:r>
          </w:p>
          <w:p w:rsidR="008F12CF" w:rsidRPr="0022649E" w:rsidRDefault="0022649E" w:rsidP="00220450">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r>
              <w:rPr>
                <w:rFonts w:ascii="Verdana" w:eastAsia="Verdana" w:hAnsi="Verdana" w:cs="Verdana"/>
              </w:rPr>
              <w:t>2. Μέσα σε δώδεκα εργάσιμες ημέρες αφότου επιδοθεί η πρόσκληση της παρ. 1</w:t>
            </w:r>
            <w:r w:rsidR="00220450">
              <w:rPr>
                <w:rFonts w:ascii="Verdana" w:eastAsia="Verdana" w:hAnsi="Verdana" w:cs="Verdana"/>
              </w:rPr>
              <w:t>,</w:t>
            </w:r>
            <w:r>
              <w:rPr>
                <w:rFonts w:ascii="Verdana" w:eastAsia="Verdana" w:hAnsi="Verdana" w:cs="Verdana"/>
              </w:rPr>
              <w:t xml:space="preserve"> οποιοσδήποτε έχει έννομο συμφέρον μπορεί να ανακόψει τον πίνακα  κατάταξης</w:t>
            </w:r>
            <w:r w:rsidR="00220450">
              <w:rPr>
                <w:rFonts w:ascii="Verdana" w:eastAsia="Verdana" w:hAnsi="Verdana" w:cs="Verdana"/>
              </w:rPr>
              <w:t xml:space="preserve"> στο τριμελές εφετείο της περιφέρειας του τόπου της κατάσχεσης. </w:t>
            </w:r>
            <w:r>
              <w:rPr>
                <w:rFonts w:ascii="Verdana" w:eastAsia="Verdana" w:hAnsi="Verdana" w:cs="Verdana"/>
              </w:rPr>
              <w:t>Αντίγραφο της ανακοπής επιδίδεται, μέσα στην ίδια προθεσμία</w:t>
            </w:r>
            <w:r w:rsidR="00220450">
              <w:rPr>
                <w:rFonts w:ascii="Verdana" w:eastAsia="Verdana" w:hAnsi="Verdana" w:cs="Verdana"/>
              </w:rPr>
              <w:t xml:space="preserve"> σε εκείνους κατά των οποίων στρέφεται καθώς </w:t>
            </w:r>
            <w:r>
              <w:rPr>
                <w:rFonts w:ascii="Verdana" w:eastAsia="Verdana" w:hAnsi="Verdana" w:cs="Verdana"/>
              </w:rPr>
              <w:t xml:space="preserve">και στον υπάλληλο του </w:t>
            </w:r>
            <w:r>
              <w:rPr>
                <w:rFonts w:ascii="Verdana" w:eastAsia="Verdana" w:hAnsi="Verdana" w:cs="Verdana"/>
              </w:rPr>
              <w:lastRenderedPageBreak/>
              <w:t xml:space="preserve">πλειστηριασμού. </w:t>
            </w:r>
          </w:p>
        </w:tc>
      </w:tr>
    </w:tbl>
    <w:p w:rsidR="004C68FB" w:rsidRDefault="004C68FB" w:rsidP="004C68FB">
      <w:pPr>
        <w:pStyle w:val="a4"/>
        <w:jc w:val="both"/>
        <w:rPr>
          <w:rFonts w:ascii="Verdana" w:eastAsia="Verdana" w:hAnsi="Verdana" w:cs="Verdana"/>
        </w:rPr>
      </w:pPr>
    </w:p>
    <w:p w:rsidR="00DE3C2E" w:rsidRPr="00D9010D" w:rsidRDefault="00DE3C2E" w:rsidP="004C68FB">
      <w:pPr>
        <w:pStyle w:val="a4"/>
        <w:jc w:val="both"/>
        <w:rPr>
          <w:rFonts w:ascii="Verdana" w:eastAsia="Verdana" w:hAnsi="Verdana" w:cs="Verdana"/>
        </w:rPr>
      </w:pPr>
    </w:p>
    <w:p w:rsidR="004C68FB" w:rsidRPr="00D9010D" w:rsidRDefault="004C68FB" w:rsidP="004C68FB">
      <w:pPr>
        <w:pStyle w:val="a4"/>
        <w:jc w:val="both"/>
        <w:rPr>
          <w:rFonts w:ascii="Verdana" w:eastAsia="Verdana" w:hAnsi="Verdana" w:cs="Verdana"/>
        </w:rPr>
      </w:pPr>
    </w:p>
    <w:p w:rsidR="008068F7" w:rsidRPr="008F12CF" w:rsidRDefault="00633AAC" w:rsidP="00DE3C2E">
      <w:pPr>
        <w:pStyle w:val="a4"/>
        <w:numPr>
          <w:ilvl w:val="0"/>
          <w:numId w:val="4"/>
        </w:numPr>
        <w:jc w:val="both"/>
        <w:rPr>
          <w:rFonts w:ascii="Verdana" w:eastAsia="Verdana" w:hAnsi="Verdana" w:cs="Verdana"/>
        </w:rPr>
      </w:pPr>
      <w:r w:rsidRPr="004663FE">
        <w:rPr>
          <w:rFonts w:ascii="Verdana" w:hAnsi="Verdana"/>
          <w:b/>
        </w:rPr>
        <w:t>Άρθρο 983 παρ. 4</w:t>
      </w:r>
      <w:r w:rsidRPr="008F12CF">
        <w:rPr>
          <w:rFonts w:ascii="Verdana"/>
          <w:b/>
        </w:rPr>
        <w:t>:</w:t>
      </w:r>
      <w:r w:rsidRPr="00D9010D">
        <w:rPr>
          <w:rFonts w:ascii="Verdana"/>
        </w:rPr>
        <w:t xml:space="preserve"> </w:t>
      </w:r>
      <w:r w:rsidRPr="00D9010D">
        <w:t xml:space="preserve">Στο </w:t>
      </w:r>
      <w:r w:rsidRPr="00D9010D">
        <w:rPr>
          <w:rFonts w:ascii="Verdana"/>
          <w:lang w:val="en-US"/>
        </w:rPr>
        <w:t>Corpus</w:t>
      </w:r>
      <w:r w:rsidRPr="00D9010D">
        <w:rPr>
          <w:rFonts w:ascii="Verdana"/>
        </w:rPr>
        <w:t xml:space="preserve"> </w:t>
      </w:r>
      <w:r w:rsidRPr="00D9010D">
        <w:t>απαντά τροποποίηση της εν λόγω παραγράφου</w:t>
      </w:r>
      <w:r w:rsidRPr="00D9010D">
        <w:rPr>
          <w:rFonts w:ascii="Verdana"/>
        </w:rPr>
        <w:t xml:space="preserve">, </w:t>
      </w:r>
      <w:r w:rsidRPr="00D9010D">
        <w:t>ενώ στο σχέδιο νόμου όχι</w:t>
      </w:r>
      <w:r w:rsidRPr="00D9010D">
        <w:rPr>
          <w:rFonts w:ascii="Verdana"/>
        </w:rPr>
        <w:t>.</w:t>
      </w:r>
    </w:p>
    <w:p w:rsidR="008F12CF" w:rsidRDefault="008F12CF" w:rsidP="008F12CF">
      <w:pPr>
        <w:pStyle w:val="a4"/>
        <w:jc w:val="both"/>
        <w:rPr>
          <w:rFonts w:ascii="Verdana" w:eastAsia="Verdana" w:hAnsi="Verdana" w:cs="Verdana"/>
        </w:rPr>
      </w:pPr>
    </w:p>
    <w:tbl>
      <w:tblPr>
        <w:tblStyle w:val="a6"/>
        <w:tblW w:w="0" w:type="auto"/>
        <w:tblLook w:val="04A0"/>
      </w:tblPr>
      <w:tblGrid>
        <w:gridCol w:w="4927"/>
        <w:gridCol w:w="4927"/>
      </w:tblGrid>
      <w:tr w:rsidR="008F12CF" w:rsidRPr="00681567" w:rsidTr="008F12CF">
        <w:tc>
          <w:tcPr>
            <w:tcW w:w="4927" w:type="dxa"/>
          </w:tcPr>
          <w:p w:rsidR="008F12CF" w:rsidRPr="008F12CF" w:rsidRDefault="008F12CF" w:rsidP="008F12CF">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8F12CF">
              <w:rPr>
                <w:rFonts w:ascii="Verdana" w:eastAsia="Verdana" w:hAnsi="Verdana" w:cs="Verdana"/>
                <w:b/>
                <w:u w:val="single"/>
              </w:rPr>
              <w:t xml:space="preserve">ΣΧΕΔΙΟ ΝΟΜΟΥ </w:t>
            </w:r>
          </w:p>
        </w:tc>
        <w:tc>
          <w:tcPr>
            <w:tcW w:w="4927" w:type="dxa"/>
          </w:tcPr>
          <w:p w:rsidR="008F12CF" w:rsidRDefault="008F12CF" w:rsidP="008F12CF">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b/>
                <w:u w:val="single"/>
              </w:rPr>
            </w:pPr>
            <w:r w:rsidRPr="008F12CF">
              <w:rPr>
                <w:rFonts w:ascii="Verdana" w:eastAsia="Verdana" w:hAnsi="Verdana" w:cs="Verdana"/>
                <w:b/>
                <w:u w:val="single"/>
                <w:lang w:val="en-US"/>
              </w:rPr>
              <w:t>CORPUS</w:t>
            </w:r>
          </w:p>
          <w:p w:rsidR="00635139" w:rsidRPr="00635139" w:rsidRDefault="00635139" w:rsidP="00635139">
            <w:pPr>
              <w:pStyle w:val="a4"/>
              <w:pBdr>
                <w:top w:val="none" w:sz="0" w:space="0" w:color="auto"/>
                <w:left w:val="none" w:sz="0" w:space="0" w:color="auto"/>
                <w:bottom w:val="none" w:sz="0" w:space="0" w:color="auto"/>
                <w:right w:val="none" w:sz="0" w:space="0" w:color="auto"/>
                <w:between w:val="none" w:sz="0" w:space="0" w:color="auto"/>
                <w:bar w:val="none" w:sz="0" w:color="auto"/>
              </w:pBdr>
              <w:ind w:firstLine="318"/>
              <w:jc w:val="both"/>
              <w:rPr>
                <w:rFonts w:ascii="Verdana" w:eastAsia="Verdana" w:hAnsi="Verdana" w:cs="Verdana"/>
                <w:b/>
              </w:rPr>
            </w:pPr>
            <w:r w:rsidRPr="00635139">
              <w:rPr>
                <w:rFonts w:ascii="Verdana" w:eastAsia="Verdana" w:hAnsi="Verdana" w:cs="Verdana"/>
              </w:rPr>
              <w:t>4</w:t>
            </w:r>
            <w:r>
              <w:rPr>
                <w:rFonts w:ascii="Verdana" w:eastAsia="Verdana" w:hAnsi="Verdana" w:cs="Verdana"/>
              </w:rPr>
              <w:t xml:space="preserve">. Για την κατάσχεση στα χέρια πιστωτικού ιδρύματος ως τρίτου το έγγραφο επιδίδεται </w:t>
            </w:r>
            <w:r>
              <w:rPr>
                <w:rFonts w:ascii="Verdana" w:eastAsia="Verdana" w:hAnsi="Verdana" w:cs="Verdana"/>
                <w:b/>
              </w:rPr>
              <w:t>στην έδρα του ή σε οποιοδήποτε κατάστημά του.</w:t>
            </w:r>
          </w:p>
          <w:p w:rsidR="008F12CF" w:rsidRPr="00635139" w:rsidRDefault="008F12CF" w:rsidP="008F12CF">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rPr>
            </w:pPr>
          </w:p>
        </w:tc>
      </w:tr>
    </w:tbl>
    <w:p w:rsidR="008F12CF" w:rsidRDefault="008F12CF" w:rsidP="008F12CF">
      <w:pPr>
        <w:pStyle w:val="a4"/>
        <w:jc w:val="both"/>
        <w:rPr>
          <w:rFonts w:ascii="Verdana" w:eastAsia="Verdana" w:hAnsi="Verdana" w:cs="Verdana"/>
        </w:rPr>
      </w:pPr>
    </w:p>
    <w:p w:rsidR="00DE3C2E" w:rsidRPr="00635139" w:rsidRDefault="00DE3C2E" w:rsidP="008F12CF">
      <w:pPr>
        <w:pStyle w:val="a4"/>
        <w:jc w:val="both"/>
        <w:rPr>
          <w:rFonts w:ascii="Verdana" w:eastAsia="Verdana" w:hAnsi="Verdana" w:cs="Verdana"/>
        </w:rPr>
      </w:pPr>
    </w:p>
    <w:p w:rsidR="00C76562" w:rsidRPr="00635139" w:rsidRDefault="00C76562" w:rsidP="008F12CF">
      <w:pPr>
        <w:pStyle w:val="a4"/>
        <w:jc w:val="both"/>
        <w:rPr>
          <w:rFonts w:ascii="Verdana" w:eastAsia="Verdana" w:hAnsi="Verdana" w:cs="Verdana"/>
        </w:rPr>
      </w:pPr>
    </w:p>
    <w:p w:rsidR="00C76562" w:rsidRPr="00635139" w:rsidRDefault="00C76562" w:rsidP="008F12CF">
      <w:pPr>
        <w:pStyle w:val="a4"/>
        <w:jc w:val="both"/>
        <w:rPr>
          <w:rFonts w:ascii="Verdana" w:eastAsia="Verdana" w:hAnsi="Verdana" w:cs="Verdana"/>
        </w:rPr>
      </w:pPr>
    </w:p>
    <w:p w:rsidR="00C76562" w:rsidRPr="00C76562" w:rsidRDefault="00C76562" w:rsidP="00DE3C2E">
      <w:pPr>
        <w:pStyle w:val="a4"/>
        <w:numPr>
          <w:ilvl w:val="0"/>
          <w:numId w:val="4"/>
        </w:numPr>
        <w:jc w:val="both"/>
        <w:rPr>
          <w:rFonts w:ascii="Verdana" w:eastAsia="Verdana" w:hAnsi="Verdana" w:cs="Verdana"/>
        </w:rPr>
      </w:pPr>
      <w:r>
        <w:rPr>
          <w:rFonts w:ascii="Verdana" w:eastAsia="Verdana" w:hAnsi="Verdana" w:cs="Verdana"/>
        </w:rPr>
        <w:t xml:space="preserve">Τέλος, οι ισχύουσες σήμερα διατάξεις </w:t>
      </w:r>
      <w:r w:rsidRPr="00DE3C2E">
        <w:rPr>
          <w:rFonts w:ascii="Verdana" w:eastAsia="Verdana" w:hAnsi="Verdana" w:cs="Verdana"/>
          <w:b/>
        </w:rPr>
        <w:t xml:space="preserve">των άρθρων 149, 210 παρ. 3 και 239 </w:t>
      </w:r>
      <w:r>
        <w:rPr>
          <w:rFonts w:ascii="Verdana" w:eastAsia="Verdana" w:hAnsi="Verdana" w:cs="Verdana"/>
        </w:rPr>
        <w:t xml:space="preserve">φέρονται ότι καταργούνται στο </w:t>
      </w:r>
      <w:r>
        <w:rPr>
          <w:rFonts w:ascii="Verdana" w:eastAsia="Verdana" w:hAnsi="Verdana" w:cs="Verdana"/>
          <w:lang w:val="en-US"/>
        </w:rPr>
        <w:t>CORPUS</w:t>
      </w:r>
      <w:r>
        <w:rPr>
          <w:rFonts w:ascii="Verdana" w:eastAsia="Verdana" w:hAnsi="Verdana" w:cs="Verdana"/>
        </w:rPr>
        <w:t xml:space="preserve">, ενώ στο ΣΧΕΔΙΟ ΝΟΜΟΥ όχι. </w:t>
      </w:r>
    </w:p>
    <w:sectPr w:rsidR="00C76562" w:rsidRPr="00C76562" w:rsidSect="008068F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292" w:rsidRDefault="008E7292" w:rsidP="008068F7">
      <w:r>
        <w:separator/>
      </w:r>
    </w:p>
  </w:endnote>
  <w:endnote w:type="continuationSeparator" w:id="0">
    <w:p w:rsidR="008E7292" w:rsidRDefault="008E7292" w:rsidP="008068F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AFF" w:usb1="C0007841" w:usb2="00000009" w:usb3="00000000" w:csb0="000001FF" w:csb1="00000000"/>
  </w:font>
  <w:font w:name="Verdana Bold">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8815"/>
      <w:docPartObj>
        <w:docPartGallery w:val="Page Numbers (Bottom of Page)"/>
        <w:docPartUnique/>
      </w:docPartObj>
    </w:sdtPr>
    <w:sdtContent>
      <w:p w:rsidR="00C3784E" w:rsidRDefault="00C3784E">
        <w:pPr>
          <w:pStyle w:val="a8"/>
          <w:jc w:val="center"/>
        </w:pPr>
        <w:r>
          <w:t>[</w:t>
        </w:r>
        <w:fldSimple w:instr=" PAGE   \* MERGEFORMAT ">
          <w:r w:rsidR="00681567">
            <w:rPr>
              <w:noProof/>
            </w:rPr>
            <w:t>1</w:t>
          </w:r>
        </w:fldSimple>
        <w:r>
          <w:t>]</w:t>
        </w:r>
      </w:p>
    </w:sdtContent>
  </w:sdt>
  <w:p w:rsidR="008068F7" w:rsidRDefault="008068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292" w:rsidRDefault="008E7292" w:rsidP="008068F7">
      <w:r>
        <w:separator/>
      </w:r>
    </w:p>
  </w:footnote>
  <w:footnote w:type="continuationSeparator" w:id="0">
    <w:p w:rsidR="008E7292" w:rsidRDefault="008E7292" w:rsidP="00806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2486A"/>
    <w:multiLevelType w:val="multilevel"/>
    <w:tmpl w:val="7D6AE650"/>
    <w:styleLink w:val="a"/>
    <w:lvl w:ilvl="0">
      <w:start w:val="1"/>
      <w:numFmt w:val="decimal"/>
      <w:lvlText w:val="%1."/>
      <w:lvlJc w:val="left"/>
      <w:pPr>
        <w:tabs>
          <w:tab w:val="num" w:pos="393"/>
        </w:tabs>
        <w:ind w:left="393" w:hanging="393"/>
      </w:pPr>
      <w:rPr>
        <w:rFonts w:ascii="Verdana" w:eastAsia="Verdana" w:hAnsi="Verdana" w:cs="Verdana"/>
        <w:position w:val="0"/>
        <w:sz w:val="24"/>
        <w:szCs w:val="24"/>
      </w:rPr>
    </w:lvl>
    <w:lvl w:ilvl="1">
      <w:start w:val="1"/>
      <w:numFmt w:val="decimal"/>
      <w:lvlText w:val="%2."/>
      <w:lvlJc w:val="left"/>
      <w:pPr>
        <w:tabs>
          <w:tab w:val="num" w:pos="753"/>
        </w:tabs>
        <w:ind w:left="753" w:hanging="393"/>
      </w:pPr>
      <w:rPr>
        <w:rFonts w:ascii="Verdana" w:eastAsia="Verdana" w:hAnsi="Verdana" w:cs="Verdana"/>
        <w:position w:val="0"/>
        <w:sz w:val="24"/>
        <w:szCs w:val="24"/>
      </w:rPr>
    </w:lvl>
    <w:lvl w:ilvl="2">
      <w:start w:val="1"/>
      <w:numFmt w:val="decimal"/>
      <w:lvlText w:val="%3."/>
      <w:lvlJc w:val="left"/>
      <w:pPr>
        <w:tabs>
          <w:tab w:val="num" w:pos="1113"/>
        </w:tabs>
        <w:ind w:left="1113" w:hanging="393"/>
      </w:pPr>
      <w:rPr>
        <w:rFonts w:ascii="Verdana" w:eastAsia="Verdana" w:hAnsi="Verdana" w:cs="Verdana"/>
        <w:position w:val="0"/>
        <w:sz w:val="24"/>
        <w:szCs w:val="24"/>
      </w:rPr>
    </w:lvl>
    <w:lvl w:ilvl="3">
      <w:start w:val="1"/>
      <w:numFmt w:val="decimal"/>
      <w:lvlText w:val="%4."/>
      <w:lvlJc w:val="left"/>
      <w:pPr>
        <w:tabs>
          <w:tab w:val="num" w:pos="1473"/>
        </w:tabs>
        <w:ind w:left="1473" w:hanging="393"/>
      </w:pPr>
      <w:rPr>
        <w:rFonts w:ascii="Verdana" w:eastAsia="Verdana" w:hAnsi="Verdana" w:cs="Verdana"/>
        <w:position w:val="0"/>
        <w:sz w:val="24"/>
        <w:szCs w:val="24"/>
      </w:rPr>
    </w:lvl>
    <w:lvl w:ilvl="4">
      <w:start w:val="1"/>
      <w:numFmt w:val="decimal"/>
      <w:lvlText w:val="%5."/>
      <w:lvlJc w:val="left"/>
      <w:pPr>
        <w:tabs>
          <w:tab w:val="num" w:pos="1833"/>
        </w:tabs>
        <w:ind w:left="1833" w:hanging="393"/>
      </w:pPr>
      <w:rPr>
        <w:rFonts w:ascii="Verdana" w:eastAsia="Verdana" w:hAnsi="Verdana" w:cs="Verdana"/>
        <w:position w:val="0"/>
        <w:sz w:val="24"/>
        <w:szCs w:val="24"/>
      </w:rPr>
    </w:lvl>
    <w:lvl w:ilvl="5">
      <w:start w:val="1"/>
      <w:numFmt w:val="decimal"/>
      <w:lvlText w:val="%6."/>
      <w:lvlJc w:val="left"/>
      <w:pPr>
        <w:tabs>
          <w:tab w:val="num" w:pos="2193"/>
        </w:tabs>
        <w:ind w:left="2193" w:hanging="393"/>
      </w:pPr>
      <w:rPr>
        <w:rFonts w:ascii="Verdana" w:eastAsia="Verdana" w:hAnsi="Verdana" w:cs="Verdana"/>
        <w:position w:val="0"/>
        <w:sz w:val="24"/>
        <w:szCs w:val="24"/>
      </w:rPr>
    </w:lvl>
    <w:lvl w:ilvl="6">
      <w:start w:val="1"/>
      <w:numFmt w:val="decimal"/>
      <w:lvlText w:val="%7."/>
      <w:lvlJc w:val="left"/>
      <w:pPr>
        <w:tabs>
          <w:tab w:val="num" w:pos="2553"/>
        </w:tabs>
        <w:ind w:left="2553" w:hanging="393"/>
      </w:pPr>
      <w:rPr>
        <w:rFonts w:ascii="Verdana" w:eastAsia="Verdana" w:hAnsi="Verdana" w:cs="Verdana"/>
        <w:position w:val="0"/>
        <w:sz w:val="24"/>
        <w:szCs w:val="24"/>
      </w:rPr>
    </w:lvl>
    <w:lvl w:ilvl="7">
      <w:start w:val="1"/>
      <w:numFmt w:val="decimal"/>
      <w:lvlText w:val="%8."/>
      <w:lvlJc w:val="left"/>
      <w:pPr>
        <w:tabs>
          <w:tab w:val="num" w:pos="2913"/>
        </w:tabs>
        <w:ind w:left="2913" w:hanging="393"/>
      </w:pPr>
      <w:rPr>
        <w:rFonts w:ascii="Verdana" w:eastAsia="Verdana" w:hAnsi="Verdana" w:cs="Verdana"/>
        <w:position w:val="0"/>
        <w:sz w:val="24"/>
        <w:szCs w:val="24"/>
      </w:rPr>
    </w:lvl>
    <w:lvl w:ilvl="8">
      <w:start w:val="1"/>
      <w:numFmt w:val="decimal"/>
      <w:lvlText w:val="%9."/>
      <w:lvlJc w:val="left"/>
      <w:pPr>
        <w:tabs>
          <w:tab w:val="num" w:pos="3273"/>
        </w:tabs>
        <w:ind w:left="3273" w:hanging="393"/>
      </w:pPr>
      <w:rPr>
        <w:rFonts w:ascii="Verdana" w:eastAsia="Verdana" w:hAnsi="Verdana" w:cs="Verdana"/>
        <w:position w:val="0"/>
        <w:sz w:val="24"/>
        <w:szCs w:val="24"/>
      </w:rPr>
    </w:lvl>
  </w:abstractNum>
  <w:abstractNum w:abstractNumId="1">
    <w:nsid w:val="51660ED0"/>
    <w:multiLevelType w:val="hybridMultilevel"/>
    <w:tmpl w:val="6E36A7A0"/>
    <w:lvl w:ilvl="0" w:tplc="388A59A4">
      <w:start w:val="4"/>
      <w:numFmt w:val="decimal"/>
      <w:lvlText w:val="%1."/>
      <w:lvlJc w:val="left"/>
      <w:pPr>
        <w:ind w:left="720" w:hanging="360"/>
      </w:pPr>
      <w:rPr>
        <w:rFonts w:ascii="Arial Unicode MS" w:eastAsia="Arial Unicode MS" w:hAnsi="Arial Unicode MS" w:cs="Arial Unicode M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5B8583A"/>
    <w:multiLevelType w:val="multilevel"/>
    <w:tmpl w:val="7D6AE650"/>
    <w:numStyleLink w:val="a"/>
  </w:abstractNum>
  <w:abstractNum w:abstractNumId="3">
    <w:nsid w:val="76405638"/>
    <w:multiLevelType w:val="multilevel"/>
    <w:tmpl w:val="D9FAD8BC"/>
    <w:lvl w:ilvl="0">
      <w:start w:val="1"/>
      <w:numFmt w:val="decimal"/>
      <w:lvlText w:val="%1."/>
      <w:lvlJc w:val="left"/>
      <w:pPr>
        <w:tabs>
          <w:tab w:val="num" w:pos="393"/>
        </w:tabs>
        <w:ind w:left="393" w:hanging="393"/>
      </w:pPr>
      <w:rPr>
        <w:rFonts w:ascii="Verdana" w:eastAsia="Verdana" w:hAnsi="Verdana" w:cs="Verdana"/>
        <w:position w:val="0"/>
        <w:sz w:val="24"/>
        <w:szCs w:val="24"/>
      </w:rPr>
    </w:lvl>
    <w:lvl w:ilvl="1">
      <w:start w:val="1"/>
      <w:numFmt w:val="decimal"/>
      <w:lvlText w:val="%2."/>
      <w:lvlJc w:val="left"/>
      <w:pPr>
        <w:tabs>
          <w:tab w:val="num" w:pos="753"/>
        </w:tabs>
        <w:ind w:left="753" w:hanging="393"/>
      </w:pPr>
      <w:rPr>
        <w:rFonts w:ascii="Verdana" w:eastAsia="Verdana" w:hAnsi="Verdana" w:cs="Verdana"/>
        <w:position w:val="0"/>
        <w:sz w:val="24"/>
        <w:szCs w:val="24"/>
      </w:rPr>
    </w:lvl>
    <w:lvl w:ilvl="2">
      <w:start w:val="1"/>
      <w:numFmt w:val="decimal"/>
      <w:lvlText w:val="%3."/>
      <w:lvlJc w:val="left"/>
      <w:pPr>
        <w:tabs>
          <w:tab w:val="num" w:pos="1113"/>
        </w:tabs>
        <w:ind w:left="1113" w:hanging="393"/>
      </w:pPr>
      <w:rPr>
        <w:rFonts w:ascii="Verdana" w:eastAsia="Verdana" w:hAnsi="Verdana" w:cs="Verdana"/>
        <w:position w:val="0"/>
        <w:sz w:val="24"/>
        <w:szCs w:val="24"/>
      </w:rPr>
    </w:lvl>
    <w:lvl w:ilvl="3">
      <w:start w:val="1"/>
      <w:numFmt w:val="decimal"/>
      <w:lvlText w:val="%4."/>
      <w:lvlJc w:val="left"/>
      <w:pPr>
        <w:tabs>
          <w:tab w:val="num" w:pos="1473"/>
        </w:tabs>
        <w:ind w:left="1473" w:hanging="393"/>
      </w:pPr>
      <w:rPr>
        <w:rFonts w:ascii="Verdana" w:eastAsia="Verdana" w:hAnsi="Verdana" w:cs="Verdana"/>
        <w:position w:val="0"/>
        <w:sz w:val="24"/>
        <w:szCs w:val="24"/>
      </w:rPr>
    </w:lvl>
    <w:lvl w:ilvl="4">
      <w:start w:val="1"/>
      <w:numFmt w:val="decimal"/>
      <w:lvlText w:val="%5."/>
      <w:lvlJc w:val="left"/>
      <w:pPr>
        <w:tabs>
          <w:tab w:val="num" w:pos="1833"/>
        </w:tabs>
        <w:ind w:left="1833" w:hanging="393"/>
      </w:pPr>
      <w:rPr>
        <w:rFonts w:ascii="Verdana" w:eastAsia="Verdana" w:hAnsi="Verdana" w:cs="Verdana"/>
        <w:position w:val="0"/>
        <w:sz w:val="24"/>
        <w:szCs w:val="24"/>
      </w:rPr>
    </w:lvl>
    <w:lvl w:ilvl="5">
      <w:start w:val="1"/>
      <w:numFmt w:val="decimal"/>
      <w:lvlText w:val="%6."/>
      <w:lvlJc w:val="left"/>
      <w:pPr>
        <w:tabs>
          <w:tab w:val="num" w:pos="2193"/>
        </w:tabs>
        <w:ind w:left="2193" w:hanging="393"/>
      </w:pPr>
      <w:rPr>
        <w:rFonts w:ascii="Verdana" w:eastAsia="Verdana" w:hAnsi="Verdana" w:cs="Verdana"/>
        <w:position w:val="0"/>
        <w:sz w:val="24"/>
        <w:szCs w:val="24"/>
      </w:rPr>
    </w:lvl>
    <w:lvl w:ilvl="6">
      <w:start w:val="1"/>
      <w:numFmt w:val="decimal"/>
      <w:lvlText w:val="%7."/>
      <w:lvlJc w:val="left"/>
      <w:pPr>
        <w:tabs>
          <w:tab w:val="num" w:pos="2553"/>
        </w:tabs>
        <w:ind w:left="2553" w:hanging="393"/>
      </w:pPr>
      <w:rPr>
        <w:rFonts w:ascii="Verdana" w:eastAsia="Verdana" w:hAnsi="Verdana" w:cs="Verdana"/>
        <w:position w:val="0"/>
        <w:sz w:val="24"/>
        <w:szCs w:val="24"/>
      </w:rPr>
    </w:lvl>
    <w:lvl w:ilvl="7">
      <w:start w:val="1"/>
      <w:numFmt w:val="decimal"/>
      <w:lvlText w:val="%8."/>
      <w:lvlJc w:val="left"/>
      <w:pPr>
        <w:tabs>
          <w:tab w:val="num" w:pos="2913"/>
        </w:tabs>
        <w:ind w:left="2913" w:hanging="393"/>
      </w:pPr>
      <w:rPr>
        <w:rFonts w:ascii="Verdana" w:eastAsia="Verdana" w:hAnsi="Verdana" w:cs="Verdana"/>
        <w:position w:val="0"/>
        <w:sz w:val="24"/>
        <w:szCs w:val="24"/>
      </w:rPr>
    </w:lvl>
    <w:lvl w:ilvl="8">
      <w:start w:val="1"/>
      <w:numFmt w:val="decimal"/>
      <w:lvlText w:val="%9."/>
      <w:lvlJc w:val="left"/>
      <w:pPr>
        <w:tabs>
          <w:tab w:val="num" w:pos="3273"/>
        </w:tabs>
        <w:ind w:left="3273" w:hanging="393"/>
      </w:pPr>
      <w:rPr>
        <w:rFonts w:ascii="Verdana" w:eastAsia="Verdana" w:hAnsi="Verdana" w:cs="Verdana"/>
        <w:position w:val="0"/>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8068F7"/>
    <w:rsid w:val="000252CB"/>
    <w:rsid w:val="000258C6"/>
    <w:rsid w:val="000C55AE"/>
    <w:rsid w:val="001A612A"/>
    <w:rsid w:val="00220450"/>
    <w:rsid w:val="0022649E"/>
    <w:rsid w:val="00292EB1"/>
    <w:rsid w:val="00320C3B"/>
    <w:rsid w:val="003422C4"/>
    <w:rsid w:val="0035240F"/>
    <w:rsid w:val="003A720D"/>
    <w:rsid w:val="003F4FFD"/>
    <w:rsid w:val="00420207"/>
    <w:rsid w:val="0043657F"/>
    <w:rsid w:val="004663FE"/>
    <w:rsid w:val="00470B81"/>
    <w:rsid w:val="00497726"/>
    <w:rsid w:val="004C68FB"/>
    <w:rsid w:val="00633AAC"/>
    <w:rsid w:val="00635139"/>
    <w:rsid w:val="00674280"/>
    <w:rsid w:val="00681567"/>
    <w:rsid w:val="00701093"/>
    <w:rsid w:val="007D0749"/>
    <w:rsid w:val="008068F7"/>
    <w:rsid w:val="00851C08"/>
    <w:rsid w:val="008D6322"/>
    <w:rsid w:val="008E7292"/>
    <w:rsid w:val="008F12CF"/>
    <w:rsid w:val="00921C7F"/>
    <w:rsid w:val="00926D2D"/>
    <w:rsid w:val="0095675D"/>
    <w:rsid w:val="00977EF6"/>
    <w:rsid w:val="00A33E52"/>
    <w:rsid w:val="00AD7663"/>
    <w:rsid w:val="00B07A75"/>
    <w:rsid w:val="00C3784E"/>
    <w:rsid w:val="00C76562"/>
    <w:rsid w:val="00C94E1C"/>
    <w:rsid w:val="00CD7896"/>
    <w:rsid w:val="00D81353"/>
    <w:rsid w:val="00D9010D"/>
    <w:rsid w:val="00DC1670"/>
    <w:rsid w:val="00DE3C2E"/>
    <w:rsid w:val="00E12028"/>
    <w:rsid w:val="00F007E7"/>
    <w:rsid w:val="00F109D9"/>
    <w:rsid w:val="00F544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8068F7"/>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8068F7"/>
    <w:rPr>
      <w:u w:val="single"/>
    </w:rPr>
  </w:style>
  <w:style w:type="table" w:customStyle="1" w:styleId="TableNormal">
    <w:name w:val="Table Normal"/>
    <w:rsid w:val="008068F7"/>
    <w:tblPr>
      <w:tblInd w:w="0" w:type="dxa"/>
      <w:tblCellMar>
        <w:top w:w="0" w:type="dxa"/>
        <w:left w:w="0" w:type="dxa"/>
        <w:bottom w:w="0" w:type="dxa"/>
        <w:right w:w="0" w:type="dxa"/>
      </w:tblCellMar>
    </w:tblPr>
  </w:style>
  <w:style w:type="paragraph" w:customStyle="1" w:styleId="a4">
    <w:name w:val="Κυρίως κείμενο"/>
    <w:rsid w:val="008068F7"/>
    <w:rPr>
      <w:rFonts w:ascii="Arial Unicode MS" w:hAnsi="Arial Unicode MS" w:cs="Arial Unicode MS"/>
      <w:color w:val="000000"/>
      <w:sz w:val="22"/>
      <w:szCs w:val="22"/>
    </w:rPr>
  </w:style>
  <w:style w:type="numbering" w:customStyle="1" w:styleId="a">
    <w:name w:val="Αριθμοί"/>
    <w:rsid w:val="008068F7"/>
    <w:pPr>
      <w:numPr>
        <w:numId w:val="2"/>
      </w:numPr>
    </w:pPr>
  </w:style>
  <w:style w:type="paragraph" w:styleId="a5">
    <w:name w:val="List Paragraph"/>
    <w:basedOn w:val="a0"/>
    <w:uiPriority w:val="34"/>
    <w:qFormat/>
    <w:rsid w:val="004C68FB"/>
    <w:pPr>
      <w:ind w:left="720"/>
      <w:contextualSpacing/>
    </w:pPr>
  </w:style>
  <w:style w:type="table" w:styleId="a6">
    <w:name w:val="Table Grid"/>
    <w:basedOn w:val="a2"/>
    <w:uiPriority w:val="59"/>
    <w:rsid w:val="00E1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Char"/>
    <w:uiPriority w:val="99"/>
    <w:semiHidden/>
    <w:unhideWhenUsed/>
    <w:rsid w:val="00C3784E"/>
    <w:pPr>
      <w:tabs>
        <w:tab w:val="center" w:pos="4153"/>
        <w:tab w:val="right" w:pos="8306"/>
      </w:tabs>
    </w:pPr>
  </w:style>
  <w:style w:type="character" w:customStyle="1" w:styleId="Char">
    <w:name w:val="Κεφαλίδα Char"/>
    <w:basedOn w:val="a1"/>
    <w:link w:val="a7"/>
    <w:uiPriority w:val="99"/>
    <w:semiHidden/>
    <w:rsid w:val="00C3784E"/>
    <w:rPr>
      <w:sz w:val="24"/>
      <w:szCs w:val="24"/>
      <w:lang w:val="en-US" w:eastAsia="en-US"/>
    </w:rPr>
  </w:style>
  <w:style w:type="paragraph" w:styleId="a8">
    <w:name w:val="footer"/>
    <w:basedOn w:val="a0"/>
    <w:link w:val="Char0"/>
    <w:uiPriority w:val="99"/>
    <w:unhideWhenUsed/>
    <w:rsid w:val="00C3784E"/>
    <w:pPr>
      <w:tabs>
        <w:tab w:val="center" w:pos="4153"/>
        <w:tab w:val="right" w:pos="8306"/>
      </w:tabs>
    </w:pPr>
  </w:style>
  <w:style w:type="character" w:customStyle="1" w:styleId="Char0">
    <w:name w:val="Υποσέλιδο Char"/>
    <w:basedOn w:val="a1"/>
    <w:link w:val="a8"/>
    <w:uiPriority w:val="99"/>
    <w:rsid w:val="00C3784E"/>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80A76-89C1-4C3F-8382-3CAEC0FE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3128</Words>
  <Characters>16892</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gr-proedrou</cp:lastModifiedBy>
  <cp:revision>50</cp:revision>
  <cp:lastPrinted>2015-07-21T20:04:00Z</cp:lastPrinted>
  <dcterms:created xsi:type="dcterms:W3CDTF">2015-07-21T17:29:00Z</dcterms:created>
  <dcterms:modified xsi:type="dcterms:W3CDTF">2015-07-22T06:27:00Z</dcterms:modified>
</cp:coreProperties>
</file>