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DD" w:rsidRDefault="00E374DD" w:rsidP="00E374DD">
      <w:pPr>
        <w:spacing w:line="360" w:lineRule="auto"/>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E374DD" w:rsidRDefault="00E374DD" w:rsidP="00E374DD">
      <w:pPr>
        <w:spacing w:line="360" w:lineRule="auto"/>
        <w:rPr>
          <w:rFonts w:ascii="Arial" w:hAnsi="Arial" w:cs="Arial"/>
          <w:sz w:val="24"/>
          <w:szCs w:val="24"/>
        </w:rPr>
      </w:pPr>
      <w:r>
        <w:rPr>
          <w:rFonts w:ascii="Arial" w:hAnsi="Arial" w:cs="Arial"/>
          <w:sz w:val="24"/>
          <w:szCs w:val="24"/>
        </w:rPr>
        <w:t>ΕΛΛΗΝΙΚΗ ΔΗΜΟΚΡΑΤΙΑ</w:t>
      </w:r>
    </w:p>
    <w:p w:rsidR="00E374DD" w:rsidRDefault="00E374DD" w:rsidP="00E374DD">
      <w:pPr>
        <w:spacing w:line="360" w:lineRule="auto"/>
        <w:rPr>
          <w:rFonts w:ascii="Arial" w:hAnsi="Arial" w:cs="Arial"/>
          <w:sz w:val="24"/>
          <w:szCs w:val="24"/>
        </w:rPr>
      </w:pPr>
      <w:r>
        <w:rPr>
          <w:rFonts w:ascii="Arial" w:hAnsi="Arial" w:cs="Arial"/>
          <w:sz w:val="24"/>
          <w:szCs w:val="24"/>
        </w:rPr>
        <w:t xml:space="preserve">ΕΙΡΗΝΟΔΙΚΕΙΟ ΝΕΑΣ ΙΩΝΙΑΣ                          Αρ. Πρωτ </w:t>
      </w:r>
      <w:r w:rsidR="00C3513E">
        <w:rPr>
          <w:rFonts w:ascii="Arial" w:hAnsi="Arial" w:cs="Arial"/>
          <w:sz w:val="24"/>
          <w:szCs w:val="24"/>
        </w:rPr>
        <w:t xml:space="preserve">  </w:t>
      </w:r>
      <w:r w:rsidR="0006150C">
        <w:rPr>
          <w:rFonts w:ascii="Arial" w:hAnsi="Arial" w:cs="Arial"/>
          <w:sz w:val="24"/>
          <w:szCs w:val="24"/>
        </w:rPr>
        <w:t>95</w:t>
      </w:r>
      <w:r w:rsidR="00C3513E">
        <w:rPr>
          <w:rFonts w:ascii="Arial" w:hAnsi="Arial" w:cs="Arial"/>
          <w:sz w:val="24"/>
          <w:szCs w:val="24"/>
        </w:rPr>
        <w:t xml:space="preserve"> </w:t>
      </w:r>
      <w:r>
        <w:rPr>
          <w:rFonts w:ascii="Arial" w:hAnsi="Arial" w:cs="Arial"/>
          <w:sz w:val="24"/>
          <w:szCs w:val="24"/>
        </w:rPr>
        <w:t>/</w:t>
      </w:r>
      <w:r w:rsidR="00C3513E">
        <w:rPr>
          <w:rFonts w:ascii="Arial" w:hAnsi="Arial" w:cs="Arial"/>
          <w:sz w:val="24"/>
          <w:szCs w:val="24"/>
        </w:rPr>
        <w:t>10</w:t>
      </w:r>
      <w:r>
        <w:rPr>
          <w:rFonts w:ascii="Arial" w:hAnsi="Arial" w:cs="Arial"/>
          <w:sz w:val="24"/>
          <w:szCs w:val="24"/>
        </w:rPr>
        <w:t>-04-2021</w:t>
      </w:r>
    </w:p>
    <w:p w:rsidR="00E374DD" w:rsidRDefault="00E374DD" w:rsidP="00E374DD">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Ταχ. Δ/νση: Λεωφ. Ηρακλείου 269 </w:t>
      </w:r>
    </w:p>
    <w:p w:rsidR="00E374DD" w:rsidRDefault="00E374DD" w:rsidP="00E374DD">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Ταχ. Κωδ.: 142 31</w:t>
      </w:r>
    </w:p>
    <w:p w:rsidR="00E374DD" w:rsidRDefault="00E374DD" w:rsidP="00E374DD">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Τηλέφωνο: 2102756280</w:t>
      </w:r>
    </w:p>
    <w:p w:rsidR="00E374DD" w:rsidRDefault="00E374DD" w:rsidP="00E374DD">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lang w:val="en-US"/>
        </w:rPr>
        <w:t>e</w:t>
      </w:r>
      <w:r>
        <w:rPr>
          <w:rFonts w:ascii="Arial" w:hAnsi="Arial" w:cs="Arial"/>
          <w:color w:val="222222"/>
          <w:sz w:val="20"/>
          <w:szCs w:val="20"/>
          <w:shd w:val="clear" w:color="auto" w:fill="FFFFFF"/>
        </w:rPr>
        <w:t>-</w:t>
      </w:r>
      <w:r>
        <w:rPr>
          <w:rFonts w:ascii="Arial" w:hAnsi="Arial" w:cs="Arial"/>
          <w:color w:val="222222"/>
          <w:sz w:val="20"/>
          <w:szCs w:val="20"/>
          <w:shd w:val="clear" w:color="auto" w:fill="FFFFFF"/>
          <w:lang w:val="en-US"/>
        </w:rPr>
        <w:t>mail</w:t>
      </w:r>
      <w:r>
        <w:rPr>
          <w:rFonts w:ascii="Arial" w:hAnsi="Arial" w:cs="Arial"/>
          <w:color w:val="222222"/>
          <w:sz w:val="20"/>
          <w:szCs w:val="20"/>
          <w:shd w:val="clear" w:color="auto" w:fill="FFFFFF"/>
        </w:rPr>
        <w:t xml:space="preserve"> irinodikionionia @ yahoo.gr</w:t>
      </w:r>
    </w:p>
    <w:p w:rsidR="00E374DD" w:rsidRDefault="00E374DD" w:rsidP="00E374DD">
      <w:pPr>
        <w:spacing w:line="360" w:lineRule="auto"/>
        <w:jc w:val="both"/>
        <w:rPr>
          <w:rFonts w:ascii="Arial" w:hAnsi="Arial" w:cs="Arial"/>
          <w:b/>
          <w:sz w:val="24"/>
          <w:szCs w:val="24"/>
        </w:rPr>
      </w:pPr>
      <w:r>
        <w:rPr>
          <w:rFonts w:ascii="Arial" w:hAnsi="Arial" w:cs="Arial"/>
          <w:b/>
          <w:sz w:val="24"/>
          <w:szCs w:val="24"/>
        </w:rPr>
        <w:t xml:space="preserve">                   </w:t>
      </w:r>
    </w:p>
    <w:p w:rsidR="00E374DD" w:rsidRDefault="00E374DD" w:rsidP="00E374DD">
      <w:pPr>
        <w:spacing w:line="360" w:lineRule="auto"/>
        <w:rPr>
          <w:rFonts w:ascii="Arial" w:hAnsi="Arial" w:cs="Arial"/>
          <w:sz w:val="24"/>
          <w:szCs w:val="24"/>
        </w:rPr>
      </w:pPr>
      <w:r>
        <w:rPr>
          <w:rFonts w:ascii="Arial" w:hAnsi="Arial" w:cs="Arial"/>
          <w:sz w:val="24"/>
          <w:szCs w:val="24"/>
        </w:rPr>
        <w:t xml:space="preserve">                                                                          </w:t>
      </w:r>
    </w:p>
    <w:p w:rsidR="00E374DD" w:rsidRDefault="00E374DD" w:rsidP="000347AD">
      <w:pPr>
        <w:spacing w:line="360" w:lineRule="auto"/>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w:t>
      </w:r>
      <w:r w:rsidRPr="00E374DD">
        <w:rPr>
          <w:rFonts w:ascii="Arial" w:hAnsi="Arial" w:cs="Arial"/>
          <w:sz w:val="24"/>
          <w:szCs w:val="24"/>
        </w:rPr>
        <w:t>Δ1α/Γ.Π.οικ. 22439</w:t>
      </w:r>
      <w:r>
        <w:rPr>
          <w:rFonts w:ascii="Arial" w:hAnsi="Arial" w:cs="Arial"/>
          <w:sz w:val="24"/>
          <w:szCs w:val="24"/>
        </w:rPr>
        <w:t>/10-4-2021</w:t>
      </w:r>
      <w:r w:rsidRPr="00E374DD">
        <w:rPr>
          <w:rFonts w:ascii="Arial" w:hAnsi="Arial" w:cs="Arial"/>
          <w:sz w:val="24"/>
          <w:szCs w:val="24"/>
        </w:rPr>
        <w:t xml:space="preserve"> ΚΥΑ </w:t>
      </w:r>
      <w:r>
        <w:rPr>
          <w:rFonts w:ascii="Arial" w:hAnsi="Arial" w:cs="Arial"/>
          <w:sz w:val="24"/>
          <w:szCs w:val="24"/>
        </w:rPr>
        <w:t>(</w:t>
      </w:r>
      <w:r w:rsidRPr="00E374DD">
        <w:rPr>
          <w:rFonts w:ascii="Arial" w:hAnsi="Arial" w:cs="Arial"/>
          <w:sz w:val="24"/>
          <w:szCs w:val="24"/>
        </w:rPr>
        <w:t>ΦΕΚ Β’ 1441/10.4.2021</w:t>
      </w:r>
      <w:r>
        <w:rPr>
          <w:rFonts w:ascii="Arial" w:hAnsi="Arial" w:cs="Arial"/>
          <w:sz w:val="24"/>
          <w:szCs w:val="24"/>
        </w:rPr>
        <w:t>)</w:t>
      </w:r>
      <w:r w:rsidRPr="00E374DD">
        <w:rPr>
          <w:rFonts w:ascii="Arial" w:hAnsi="Arial" w:cs="Arial"/>
          <w:sz w:val="24"/>
          <w:szCs w:val="24"/>
        </w:rPr>
        <w:t xml:space="preserve"> «Έκτακτα μέτρα προστασίας της δημόσιας υγείας από τον κίνδυνο περαιτέρω διασποράς του κορωνοϊού COVID-19 στο σύνολο της Επικράτειας για το διάστημα για το διάστημα από τη Δευτέρα, 12 Απριλίου 2021 έως και τη Δευτέρα,</w:t>
      </w:r>
      <w:r>
        <w:rPr>
          <w:rFonts w:ascii="Arial" w:hAnsi="Arial" w:cs="Arial"/>
          <w:sz w:val="24"/>
          <w:szCs w:val="24"/>
        </w:rPr>
        <w:t xml:space="preserve"> 19 Απριλίου 2021 και ώρα 6:00», </w:t>
      </w:r>
      <w:r w:rsidR="000347AD">
        <w:rPr>
          <w:rFonts w:ascii="Arial" w:hAnsi="Arial" w:cs="Arial"/>
          <w:sz w:val="24"/>
          <w:szCs w:val="24"/>
        </w:rPr>
        <w:t>ή οποία σύμφωνα με το ά</w:t>
      </w:r>
      <w:r w:rsidR="000347AD" w:rsidRPr="000347AD">
        <w:rPr>
          <w:rFonts w:ascii="Arial" w:hAnsi="Arial" w:cs="Arial"/>
          <w:sz w:val="24"/>
          <w:szCs w:val="24"/>
        </w:rPr>
        <w:t>ρθρο 14</w:t>
      </w:r>
      <w:r w:rsidR="000347AD">
        <w:rPr>
          <w:rFonts w:ascii="Arial" w:hAnsi="Arial" w:cs="Arial"/>
          <w:sz w:val="24"/>
          <w:szCs w:val="24"/>
        </w:rPr>
        <w:t xml:space="preserve">, </w:t>
      </w:r>
      <w:r w:rsidR="000347AD" w:rsidRPr="000347AD">
        <w:rPr>
          <w:rFonts w:ascii="Arial" w:hAnsi="Arial" w:cs="Arial"/>
          <w:sz w:val="24"/>
          <w:szCs w:val="24"/>
        </w:rPr>
        <w:t xml:space="preserve">β) </w:t>
      </w:r>
      <w:r w:rsidR="000347AD" w:rsidRPr="002A56E3">
        <w:rPr>
          <w:rFonts w:ascii="Arial" w:hAnsi="Arial" w:cs="Arial"/>
          <w:b/>
          <w:sz w:val="24"/>
          <w:szCs w:val="24"/>
        </w:rPr>
        <w:t>τίθεται σε ισχύ σε κάθε περίπτωση την Τρίτη, 13 Απριλίου 2021 και ώρα 6:00, ενώ μέχρι τότε διατηρείται σε ισχύ το σημείο 4 του πίνακα της παρ. 1Β του άρθρου 1 της υπό στοιχεία Δ1α/Γ.Π.οικ.20651/2.4.2021 (Β’ 1308) κοινής υπουργικής απόφασης</w:t>
      </w:r>
      <w:r w:rsidR="000347AD">
        <w:rPr>
          <w:rFonts w:ascii="Arial" w:hAnsi="Arial" w:cs="Arial"/>
          <w:sz w:val="24"/>
          <w:szCs w:val="24"/>
        </w:rPr>
        <w:t xml:space="preserve">, </w:t>
      </w:r>
      <w:r>
        <w:rPr>
          <w:rFonts w:ascii="Arial" w:hAnsi="Arial" w:cs="Arial"/>
          <w:sz w:val="24"/>
          <w:szCs w:val="24"/>
        </w:rPr>
        <w:t>για το  επίπεδο πολύ αυξημένου κινδύνου στο οποίο εντάσσεται κατά το άρθρο 1, 1</w:t>
      </w:r>
      <w:r>
        <w:rPr>
          <w:rFonts w:ascii="Arial" w:hAnsi="Arial" w:cs="Arial"/>
          <w:sz w:val="24"/>
          <w:szCs w:val="24"/>
          <w:vertAlign w:val="superscript"/>
        </w:rPr>
        <w:t xml:space="preserve"> </w:t>
      </w:r>
      <w:r>
        <w:rPr>
          <w:rFonts w:ascii="Arial" w:hAnsi="Arial" w:cs="Arial"/>
          <w:sz w:val="24"/>
          <w:szCs w:val="24"/>
        </w:rPr>
        <w:t>Α), α)  αα) της ως άνω ΚΥΑ, η Περιφέρεια Αττικής.:</w:t>
      </w:r>
    </w:p>
    <w:p w:rsidR="00E374DD" w:rsidRDefault="00E374DD" w:rsidP="00E374DD">
      <w:pPr>
        <w:spacing w:line="360" w:lineRule="auto"/>
        <w:jc w:val="both"/>
        <w:rPr>
          <w:rFonts w:ascii="Arial" w:hAnsi="Arial" w:cs="Arial"/>
          <w:i/>
          <w:sz w:val="24"/>
          <w:szCs w:val="24"/>
        </w:rPr>
      </w:pPr>
      <w:r>
        <w:rPr>
          <w:rFonts w:ascii="Arial" w:hAnsi="Arial" w:cs="Arial"/>
          <w:sz w:val="24"/>
          <w:szCs w:val="24"/>
        </w:rPr>
        <w:t xml:space="preserve">      «...• </w:t>
      </w:r>
      <w:r>
        <w:rPr>
          <w:rFonts w:ascii="Arial" w:hAnsi="Arial" w:cs="Arial"/>
          <w:i/>
          <w:sz w:val="24"/>
          <w:szCs w:val="24"/>
        </w:rPr>
        <w:t>3. α) Αναστέλλονται προσωρινά: α) οι δίκες ενώπιον των πολιτικών και ποινικών δικαστηρίων,</w:t>
      </w:r>
    </w:p>
    <w:p w:rsidR="00E374DD" w:rsidRDefault="00E374DD" w:rsidP="00E374DD">
      <w:pPr>
        <w:spacing w:line="360" w:lineRule="auto"/>
        <w:jc w:val="both"/>
        <w:rPr>
          <w:rFonts w:ascii="Arial" w:hAnsi="Arial" w:cs="Arial"/>
          <w:i/>
          <w:sz w:val="24"/>
          <w:szCs w:val="24"/>
        </w:rPr>
      </w:pPr>
      <w:r>
        <w:rPr>
          <w:rFonts w:ascii="Arial" w:hAnsi="Arial" w:cs="Arial"/>
          <w:i/>
          <w:sz w:val="24"/>
          <w:szCs w:val="24"/>
        </w:rPr>
        <w:t>β) Εξαιρούνται από την εφαρμογή της περ. α):</w:t>
      </w:r>
    </w:p>
    <w:p w:rsidR="00E374DD" w:rsidRDefault="00E374DD" w:rsidP="00E374DD">
      <w:pPr>
        <w:spacing w:line="360" w:lineRule="auto"/>
        <w:jc w:val="both"/>
        <w:rPr>
          <w:rFonts w:ascii="Arial" w:hAnsi="Arial" w:cs="Arial"/>
          <w:i/>
          <w:sz w:val="24"/>
          <w:szCs w:val="24"/>
        </w:rPr>
      </w:pPr>
      <w:r>
        <w:rPr>
          <w:rFonts w:ascii="Arial" w:hAnsi="Arial" w:cs="Arial"/>
          <w:i/>
          <w:sz w:val="24"/>
          <w:szCs w:val="24"/>
        </w:rPr>
        <w:t>βα) Οι δίκες της τακτικής διαδικασίας α’ βαθμού, οι οποίες εκδικάζονται σύμφωνα με τις διατάξεις του ν. 4335/2015 (Α' 87).</w:t>
      </w:r>
    </w:p>
    <w:p w:rsidR="00E374DD" w:rsidRDefault="00E374DD" w:rsidP="00E374DD">
      <w:pPr>
        <w:spacing w:line="360" w:lineRule="auto"/>
        <w:jc w:val="both"/>
        <w:rPr>
          <w:rFonts w:ascii="Arial" w:hAnsi="Arial" w:cs="Arial"/>
          <w:i/>
          <w:sz w:val="24"/>
          <w:szCs w:val="24"/>
        </w:rPr>
      </w:pPr>
      <w:r>
        <w:rPr>
          <w:rFonts w:ascii="Arial" w:hAnsi="Arial" w:cs="Arial"/>
          <w:i/>
          <w:sz w:val="24"/>
          <w:szCs w:val="24"/>
        </w:rPr>
        <w:t>….βγ) Οι δίκες ανακοπών κατά της εκτελεστικής διαδικασίας, στις οποίες δύνανται να εξετάζονται μάρτυρες στο ακροατήριο.</w:t>
      </w:r>
    </w:p>
    <w:p w:rsidR="00E374DD" w:rsidRDefault="00E374DD" w:rsidP="00E374DD">
      <w:pPr>
        <w:spacing w:line="360" w:lineRule="auto"/>
        <w:jc w:val="both"/>
        <w:rPr>
          <w:rFonts w:ascii="Arial" w:hAnsi="Arial" w:cs="Arial"/>
          <w:i/>
          <w:sz w:val="24"/>
          <w:szCs w:val="24"/>
        </w:rPr>
      </w:pPr>
      <w:r>
        <w:rPr>
          <w:rFonts w:ascii="Arial" w:hAnsi="Arial" w:cs="Arial"/>
          <w:i/>
          <w:sz w:val="24"/>
          <w:szCs w:val="24"/>
        </w:rPr>
        <w:lastRenderedPageBreak/>
        <w:t>βδ) Οι δίκες εργατικών διαφορών στις οποίες δύνανται να εξετάζονται μάρτυρες στο ακροατήριο.</w:t>
      </w:r>
    </w:p>
    <w:p w:rsidR="00A63AE6" w:rsidRDefault="00E374DD" w:rsidP="00E374DD">
      <w:pPr>
        <w:spacing w:line="360" w:lineRule="auto"/>
        <w:jc w:val="both"/>
        <w:rPr>
          <w:rFonts w:ascii="Arial" w:hAnsi="Arial" w:cs="Arial"/>
          <w:i/>
          <w:sz w:val="24"/>
          <w:szCs w:val="24"/>
        </w:rPr>
      </w:pPr>
      <w:r>
        <w:rPr>
          <w:rFonts w:ascii="Arial" w:hAnsi="Arial" w:cs="Arial"/>
          <w:i/>
          <w:sz w:val="24"/>
          <w:szCs w:val="24"/>
        </w:rPr>
        <w:t xml:space="preserve">…βζ) Οι δίκες ασφαλιστικών μέτρων που έχουν ως αντικείμενο εργατικές διαφορές, ανακοπές και αιτήσεις αναστολής κατά της εκτελεστικής διαδικασίας και διατροφές από το νόμο, </w:t>
      </w:r>
      <w:r w:rsidR="000347AD" w:rsidRPr="001811FE">
        <w:rPr>
          <w:rFonts w:ascii="Arial" w:hAnsi="Arial" w:cs="Arial"/>
          <w:b/>
          <w:i/>
          <w:sz w:val="24"/>
          <w:szCs w:val="24"/>
        </w:rPr>
        <w:t xml:space="preserve">επιμέλεια και επικοινωνία, εγγραφή ή εξάλειψη ή μεταρρύθμιση προσημείωσης υποθήκης, συντηρητική κατάσχεση κινητής ή ακίνητης περιουσίας, ευρωπαϊκή διαταγή δέσμευσης </w:t>
      </w:r>
      <w:r w:rsidR="00A63AE6" w:rsidRPr="001811FE">
        <w:rPr>
          <w:rFonts w:ascii="Arial" w:hAnsi="Arial" w:cs="Arial"/>
          <w:b/>
          <w:i/>
          <w:sz w:val="24"/>
          <w:szCs w:val="24"/>
        </w:rPr>
        <w:t>λογαριασμού κατά το άρθρο 738</w:t>
      </w:r>
      <w:r w:rsidR="00A63AE6" w:rsidRPr="001811FE">
        <w:rPr>
          <w:rFonts w:ascii="Arial" w:hAnsi="Arial" w:cs="Arial"/>
          <w:b/>
          <w:i/>
          <w:sz w:val="24"/>
          <w:szCs w:val="24"/>
          <w:vertAlign w:val="superscript"/>
        </w:rPr>
        <w:t>Α</w:t>
      </w:r>
      <w:r w:rsidR="00A63AE6" w:rsidRPr="001811FE">
        <w:rPr>
          <w:rFonts w:ascii="Arial" w:hAnsi="Arial" w:cs="Arial"/>
          <w:b/>
          <w:i/>
          <w:sz w:val="24"/>
          <w:szCs w:val="24"/>
        </w:rPr>
        <w:t xml:space="preserve"> ΚΠολΔ, τις ανακλήσεις αυτών, καθώς και τις σχετικές με αυτές διαφορές του άρθρου 702 ΚπολΔ,</w:t>
      </w:r>
      <w:r w:rsidR="00A63AE6">
        <w:rPr>
          <w:rFonts w:ascii="Arial" w:hAnsi="Arial" w:cs="Arial"/>
          <w:i/>
          <w:sz w:val="24"/>
          <w:szCs w:val="24"/>
        </w:rPr>
        <w:t xml:space="preserve"> στις οποίες δύνανται να εξετάζονται μάρτυρες στο ακροατήριο</w:t>
      </w:r>
      <w:r>
        <w:rPr>
          <w:rFonts w:ascii="Arial" w:hAnsi="Arial" w:cs="Arial"/>
          <w:i/>
          <w:sz w:val="24"/>
          <w:szCs w:val="24"/>
        </w:rPr>
        <w:t xml:space="preserve">. </w:t>
      </w:r>
    </w:p>
    <w:p w:rsidR="00A63AE6" w:rsidRPr="00A63AE6" w:rsidRDefault="00A63AE6" w:rsidP="00E374DD">
      <w:pPr>
        <w:spacing w:line="360" w:lineRule="auto"/>
        <w:jc w:val="both"/>
        <w:rPr>
          <w:rFonts w:ascii="Arial" w:hAnsi="Arial" w:cs="Arial"/>
          <w:b/>
          <w:i/>
          <w:sz w:val="24"/>
          <w:szCs w:val="24"/>
        </w:rPr>
      </w:pPr>
      <w:r w:rsidRPr="00A63AE6">
        <w:rPr>
          <w:rFonts w:ascii="Arial" w:hAnsi="Arial" w:cs="Arial"/>
          <w:b/>
          <w:i/>
          <w:sz w:val="24"/>
          <w:szCs w:val="24"/>
        </w:rPr>
        <w:t xml:space="preserve">Στις υποπερ. …βγ) ….και βζ) υπάγεται και η εκδίκαση παραδεκτώς σωρευομένων στο ίδιο δικόγραφο αιτημάτων. </w:t>
      </w:r>
    </w:p>
    <w:p w:rsidR="00E374DD" w:rsidRDefault="00E374DD" w:rsidP="00E374DD">
      <w:pPr>
        <w:spacing w:line="360" w:lineRule="auto"/>
        <w:jc w:val="both"/>
        <w:rPr>
          <w:rFonts w:ascii="Arial" w:eastAsiaTheme="minorHAnsi" w:hAnsi="Arial" w:cs="Arial"/>
          <w:i/>
          <w:sz w:val="24"/>
          <w:szCs w:val="24"/>
        </w:rPr>
      </w:pPr>
      <w:r>
        <w:rPr>
          <w:rFonts w:ascii="Arial" w:hAnsi="Arial" w:cs="Arial"/>
          <w:i/>
          <w:sz w:val="24"/>
          <w:szCs w:val="24"/>
        </w:rPr>
        <w:t>βη)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άρθρου 1 του ν. 4745/2020 (Α' 214), στις οποίες δεν εξετάζονται μάρτυρες, αποκλειστικά με τη δυνατότητα προσκόμισης ενόρκων βεβαιώσεων. Ειδικώς και κατ’ εξαίρεση στις δίκες εκούσιας δικαιοδοσίας που έχουν ως αντικείμενο τη θέση σε δικαστική συμπαράσταση (άρθρο 801 επ. Κ.Πολ.Δ.), την κήρυξη ιδιόγραφης διαθήκης ως κυρίας (803 παρ. 3 ΚΠολΔ) και στις δίκες των άρθρων 68 επ. του ν. 4307/2014 (Α’ 246) δύνανται να εξετάζονται μάρτυρες στο ακροατήριο.</w:t>
      </w:r>
    </w:p>
    <w:p w:rsidR="00A63AE6" w:rsidRDefault="00E374DD" w:rsidP="00E374DD">
      <w:pPr>
        <w:spacing w:line="360" w:lineRule="auto"/>
        <w:jc w:val="both"/>
        <w:rPr>
          <w:rFonts w:ascii="Arial" w:hAnsi="Arial" w:cs="Arial"/>
          <w:i/>
          <w:sz w:val="24"/>
          <w:szCs w:val="24"/>
        </w:rPr>
      </w:pPr>
      <w:r>
        <w:rPr>
          <w:rFonts w:ascii="Arial" w:hAnsi="Arial" w:cs="Arial"/>
          <w:i/>
          <w:sz w:val="24"/>
          <w:szCs w:val="24"/>
        </w:rPr>
        <w:t xml:space="preserve"> Στην υποπερ. βη) πρώτο εδάφιο</w:t>
      </w:r>
      <w:r>
        <w:rPr>
          <w:rFonts w:ascii="Arial" w:hAnsi="Arial" w:cs="Arial"/>
          <w:b/>
          <w:i/>
          <w:sz w:val="24"/>
          <w:szCs w:val="24"/>
        </w:rPr>
        <w:t xml:space="preserve"> </w:t>
      </w:r>
      <w:r>
        <w:rPr>
          <w:rFonts w:ascii="Arial" w:hAnsi="Arial" w:cs="Arial"/>
          <w:i/>
          <w:sz w:val="24"/>
          <w:szCs w:val="24"/>
        </w:rPr>
        <w:t>λαμβάνει χώρα την προτεραία της δικασίμου έγγραφη δήλωση των πληρεξουσίων δικηγόρων των διαδίκων, ότι η 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Εφόσον όλοι οι διάδικοι έχουν υποβάλει δήλωση κατά το προηγούμενο εδάφιο, η υπόθεση συζητείται παρουσία των πληρεξουσίων δικηγόρων, χωρίς την εξέταση μαρτύρων. Σε περίπτωση κατά την οποία δεν υποβληθεί η δήλωση του ανωτέρω εδαφίου από τους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w:t>
      </w:r>
    </w:p>
    <w:p w:rsidR="001811FE" w:rsidRDefault="00A63AE6" w:rsidP="00E374DD">
      <w:pPr>
        <w:spacing w:line="360" w:lineRule="auto"/>
        <w:jc w:val="both"/>
        <w:rPr>
          <w:rFonts w:ascii="Arial" w:hAnsi="Arial" w:cs="Arial"/>
          <w:i/>
          <w:sz w:val="24"/>
          <w:szCs w:val="24"/>
        </w:rPr>
      </w:pPr>
      <w:r w:rsidRPr="00A63AE6">
        <w:rPr>
          <w:rFonts w:ascii="Arial" w:hAnsi="Arial" w:cs="Arial"/>
          <w:b/>
          <w:i/>
          <w:sz w:val="24"/>
          <w:szCs w:val="24"/>
        </w:rPr>
        <w:lastRenderedPageBreak/>
        <w:t xml:space="preserve">Δεν απαιτείται </w:t>
      </w:r>
      <w:r w:rsidR="00E374DD" w:rsidRPr="00A63AE6">
        <w:rPr>
          <w:rFonts w:ascii="Arial" w:hAnsi="Arial" w:cs="Arial"/>
          <w:b/>
          <w:i/>
          <w:sz w:val="24"/>
          <w:szCs w:val="24"/>
        </w:rPr>
        <w:t xml:space="preserve"> </w:t>
      </w:r>
      <w:r w:rsidRPr="00A63AE6">
        <w:rPr>
          <w:rFonts w:ascii="Arial" w:hAnsi="Arial" w:cs="Arial"/>
          <w:b/>
          <w:i/>
          <w:sz w:val="24"/>
          <w:szCs w:val="24"/>
        </w:rPr>
        <w:t>υποβολή δήλωσης εκ μέρους του εισαγγελέα, όταν παρίσταται ως διάδικος</w:t>
      </w:r>
      <w:r>
        <w:rPr>
          <w:rFonts w:ascii="Arial" w:hAnsi="Arial" w:cs="Arial"/>
          <w:i/>
          <w:sz w:val="24"/>
          <w:szCs w:val="24"/>
        </w:rPr>
        <w:t xml:space="preserve">. </w:t>
      </w:r>
    </w:p>
    <w:p w:rsidR="00E374DD" w:rsidRDefault="00E374DD" w:rsidP="00E374DD">
      <w:pPr>
        <w:spacing w:line="360" w:lineRule="auto"/>
        <w:jc w:val="both"/>
        <w:rPr>
          <w:rFonts w:ascii="Arial" w:hAnsi="Arial" w:cs="Arial"/>
          <w:i/>
          <w:sz w:val="24"/>
          <w:szCs w:val="24"/>
        </w:rPr>
      </w:pPr>
      <w:r>
        <w:rPr>
          <w:rFonts w:ascii="Arial" w:hAnsi="Arial" w:cs="Arial"/>
          <w:i/>
          <w:sz w:val="24"/>
          <w:szCs w:val="24"/>
        </w:rPr>
        <w:t>Συναινετικά αιτήματα αναβολής για τις υποπερ. ββ) έως και βη), υποβάλλονται σύμφωνα με την παρ. 3 του άρθρου 83 του ν. 4790/2021.</w:t>
      </w:r>
    </w:p>
    <w:p w:rsidR="00E374DD" w:rsidRDefault="00E374DD" w:rsidP="00E374DD">
      <w:pPr>
        <w:spacing w:line="360" w:lineRule="auto"/>
        <w:jc w:val="both"/>
        <w:rPr>
          <w:rFonts w:ascii="Arial" w:hAnsi="Arial" w:cs="Arial"/>
          <w:i/>
          <w:sz w:val="24"/>
          <w:szCs w:val="24"/>
        </w:rPr>
      </w:pPr>
      <w:r>
        <w:rPr>
          <w:rFonts w:ascii="Arial" w:hAnsi="Arial" w:cs="Arial"/>
          <w:i/>
          <w:sz w:val="24"/>
          <w:szCs w:val="24"/>
        </w:rPr>
        <w:t>….βια)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E374DD" w:rsidRDefault="00E374DD" w:rsidP="00E374DD">
      <w:pPr>
        <w:spacing w:line="360" w:lineRule="auto"/>
        <w:jc w:val="both"/>
        <w:rPr>
          <w:rFonts w:ascii="Arial" w:hAnsi="Arial" w:cs="Arial"/>
          <w:sz w:val="24"/>
          <w:szCs w:val="24"/>
        </w:rPr>
      </w:pPr>
      <w:r>
        <w:rPr>
          <w:rFonts w:ascii="Arial" w:hAnsi="Arial" w:cs="Arial"/>
          <w:i/>
          <w:sz w:val="24"/>
          <w:szCs w:val="24"/>
        </w:rPr>
        <w:t>…βιθ) Η δημοσίευση αποφάσεων</w:t>
      </w:r>
      <w:r>
        <w:rPr>
          <w:rFonts w:ascii="Arial" w:hAnsi="Arial" w:cs="Arial"/>
          <w:sz w:val="24"/>
          <w:szCs w:val="24"/>
        </w:rPr>
        <w:t>.»</w:t>
      </w:r>
    </w:p>
    <w:p w:rsidR="00E374DD" w:rsidRDefault="00E374DD" w:rsidP="00E374DD">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 xml:space="preserve">για το χρονικό διάστημα από την Τρίτη, </w:t>
      </w:r>
      <w:r w:rsidR="001811FE">
        <w:rPr>
          <w:rFonts w:ascii="Arial" w:hAnsi="Arial" w:cs="Arial"/>
          <w:sz w:val="24"/>
          <w:szCs w:val="24"/>
        </w:rPr>
        <w:t>έως και τη Δευτέρα, 19 Απριλίου 2021 και ώρα 6:00</w:t>
      </w:r>
      <w:r>
        <w:rPr>
          <w:rFonts w:ascii="Arial" w:hAnsi="Arial" w:cs="Arial"/>
          <w:sz w:val="24"/>
          <w:szCs w:val="24"/>
        </w:rPr>
        <w:t xml:space="preserve">, η λειτουργία του δικαστηρίου και της γραμματείας του Ειρηνοδικείου Νέας Ιωνίας θα γίνεται όπως παρακάτω: </w:t>
      </w:r>
    </w:p>
    <w:p w:rsidR="00E374DD" w:rsidRDefault="00E374DD" w:rsidP="00E374DD">
      <w:pPr>
        <w:spacing w:line="360" w:lineRule="auto"/>
        <w:jc w:val="both"/>
        <w:rPr>
          <w:rFonts w:ascii="Arial" w:hAnsi="Arial" w:cs="Arial"/>
          <w:sz w:val="24"/>
          <w:szCs w:val="24"/>
        </w:rPr>
      </w:pPr>
      <w:r>
        <w:rPr>
          <w:rFonts w:ascii="Arial" w:hAnsi="Arial" w:cs="Arial"/>
          <w:sz w:val="24"/>
          <w:szCs w:val="24"/>
        </w:rPr>
        <w:t xml:space="preserve">       Θα δικάζονται: 1) Οι δίκες της τακτικής διαδικασίας α’ βαθμού, οι οποίες εκδικάζονται σύμφωνα με τις διατάξεις του ν. 4335/2015 (Α' 87). </w:t>
      </w:r>
    </w:p>
    <w:p w:rsidR="00E374DD" w:rsidRPr="002A56E3" w:rsidRDefault="00E374DD" w:rsidP="00E374DD">
      <w:pPr>
        <w:spacing w:line="360" w:lineRule="auto"/>
        <w:jc w:val="both"/>
        <w:rPr>
          <w:rFonts w:ascii="Arial" w:hAnsi="Arial" w:cs="Arial"/>
          <w:sz w:val="24"/>
          <w:szCs w:val="24"/>
        </w:rPr>
      </w:pPr>
      <w:r>
        <w:rPr>
          <w:rFonts w:ascii="Arial" w:hAnsi="Arial" w:cs="Arial"/>
          <w:sz w:val="24"/>
          <w:szCs w:val="24"/>
        </w:rPr>
        <w:t xml:space="preserve">       2) Οι δίκες ανακοπών κατά της εκτελεστικής διαδικασίας, στις οποίες δύνανται να εξετάζονται μάρτυρες στο ακροατήριο. </w:t>
      </w:r>
      <w:r w:rsidR="00523785" w:rsidRPr="002A56E3">
        <w:rPr>
          <w:rFonts w:ascii="Arial" w:hAnsi="Arial" w:cs="Arial"/>
          <w:b/>
          <w:sz w:val="24"/>
          <w:szCs w:val="24"/>
        </w:rPr>
        <w:t xml:space="preserve">Στην περίπτωση αυτή υπάγεται και η εκδίκαση παραδεκτώς σωρευομένων στο ίδιο δικόγραφο αιτημάτων. </w:t>
      </w:r>
    </w:p>
    <w:p w:rsidR="00E374DD" w:rsidRDefault="00E374DD" w:rsidP="00E374DD">
      <w:pPr>
        <w:spacing w:line="360" w:lineRule="auto"/>
        <w:jc w:val="both"/>
        <w:rPr>
          <w:rFonts w:ascii="Arial" w:hAnsi="Arial" w:cs="Arial"/>
          <w:sz w:val="24"/>
          <w:szCs w:val="24"/>
        </w:rPr>
      </w:pPr>
      <w:r>
        <w:rPr>
          <w:rFonts w:ascii="Arial" w:hAnsi="Arial" w:cs="Arial"/>
          <w:sz w:val="24"/>
          <w:szCs w:val="24"/>
        </w:rPr>
        <w:t xml:space="preserve">        3) Οι δίκες εργατικών διαφορών στις οποίες δύνανται να εξετάζονται μάρτυρες στο ακροατήριο.</w:t>
      </w:r>
    </w:p>
    <w:p w:rsidR="00523785" w:rsidRPr="002A56E3" w:rsidRDefault="00E374DD" w:rsidP="00523785">
      <w:pPr>
        <w:spacing w:line="360" w:lineRule="auto"/>
        <w:jc w:val="both"/>
        <w:rPr>
          <w:rFonts w:ascii="Arial" w:hAnsi="Arial" w:cs="Arial"/>
          <w:sz w:val="24"/>
          <w:szCs w:val="24"/>
        </w:rPr>
      </w:pPr>
      <w:r>
        <w:rPr>
          <w:rFonts w:ascii="Arial" w:hAnsi="Arial" w:cs="Arial"/>
          <w:sz w:val="24"/>
          <w:szCs w:val="24"/>
        </w:rPr>
        <w:t xml:space="preserve">        4) Οι δίκες ασφαλιστικών μέτρων που έχουν ως αντικείμενο εργατικές διαφορές, ανακοπές και αιτήσεις αναστολής κατά της εκτελεστικής διαδικασίας </w:t>
      </w:r>
      <w:r w:rsidR="001811FE" w:rsidRPr="002A56E3">
        <w:rPr>
          <w:rFonts w:ascii="Arial" w:hAnsi="Arial" w:cs="Arial"/>
          <w:b/>
          <w:sz w:val="24"/>
          <w:szCs w:val="24"/>
        </w:rPr>
        <w:t>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το άρθρο 738</w:t>
      </w:r>
      <w:r w:rsidR="001811FE" w:rsidRPr="002A56E3">
        <w:rPr>
          <w:rFonts w:ascii="Arial" w:hAnsi="Arial" w:cs="Arial"/>
          <w:b/>
          <w:sz w:val="24"/>
          <w:szCs w:val="24"/>
          <w:vertAlign w:val="superscript"/>
        </w:rPr>
        <w:t>Α</w:t>
      </w:r>
      <w:r w:rsidR="001811FE" w:rsidRPr="002A56E3">
        <w:rPr>
          <w:rFonts w:ascii="Arial" w:hAnsi="Arial" w:cs="Arial"/>
          <w:b/>
          <w:sz w:val="24"/>
          <w:szCs w:val="24"/>
        </w:rPr>
        <w:t xml:space="preserve"> ΚΠολΔ, τις ανακλήσεις αυτών, καθώς και τις σχετικές με αυτές διαφορές του άρθρου 702 ΚπολΔ</w:t>
      </w:r>
      <w:r w:rsidRPr="002A56E3">
        <w:rPr>
          <w:rFonts w:ascii="Arial" w:hAnsi="Arial" w:cs="Arial"/>
          <w:b/>
          <w:sz w:val="24"/>
          <w:szCs w:val="24"/>
        </w:rPr>
        <w:t>,</w:t>
      </w:r>
      <w:r>
        <w:rPr>
          <w:rFonts w:ascii="Arial" w:hAnsi="Arial" w:cs="Arial"/>
          <w:sz w:val="24"/>
          <w:szCs w:val="24"/>
        </w:rPr>
        <w:t xml:space="preserve"> στις οποίες δύνανται να εξετάζονται μάρτυρες στο ακροατήριο. </w:t>
      </w:r>
      <w:r w:rsidR="00523785" w:rsidRPr="002A56E3">
        <w:rPr>
          <w:rFonts w:ascii="Arial" w:hAnsi="Arial" w:cs="Arial"/>
          <w:b/>
          <w:sz w:val="24"/>
          <w:szCs w:val="24"/>
        </w:rPr>
        <w:t>Στην περί</w:t>
      </w:r>
      <w:r w:rsidR="00523785" w:rsidRPr="002A56E3">
        <w:rPr>
          <w:rFonts w:ascii="Arial" w:hAnsi="Arial" w:cs="Arial"/>
          <w:b/>
          <w:sz w:val="24"/>
          <w:szCs w:val="24"/>
        </w:rPr>
        <w:lastRenderedPageBreak/>
        <w:t xml:space="preserve">πτωση αυτή υπάγεται και η εκδίκαση παραδεκτώς σωρευομένων στο ίδιο δικόγραφο αιτημάτων. </w:t>
      </w:r>
    </w:p>
    <w:p w:rsidR="00E374DD" w:rsidRDefault="00E374DD" w:rsidP="00E374DD">
      <w:pPr>
        <w:spacing w:line="360" w:lineRule="auto"/>
        <w:jc w:val="both"/>
        <w:rPr>
          <w:rFonts w:ascii="Arial" w:hAnsi="Arial" w:cs="Arial"/>
          <w:sz w:val="24"/>
          <w:szCs w:val="24"/>
        </w:rPr>
      </w:pPr>
      <w:r>
        <w:rPr>
          <w:rFonts w:ascii="Arial" w:hAnsi="Arial" w:cs="Arial"/>
          <w:sz w:val="24"/>
          <w:szCs w:val="24"/>
        </w:rPr>
        <w:t>Στις ως άνω περιπτώσεις 1, 2, 3 και 4 δεν απαιτείται υποβολή έγγραφης δήλωσης την προηγούμενη ημέρα της δικασίμου.</w:t>
      </w:r>
    </w:p>
    <w:p w:rsidR="00E374DD" w:rsidRDefault="00E374DD" w:rsidP="00E374DD">
      <w:pPr>
        <w:spacing w:line="360" w:lineRule="auto"/>
        <w:jc w:val="both"/>
        <w:rPr>
          <w:rFonts w:ascii="Arial" w:eastAsiaTheme="minorHAnsi"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άρθρου 1 του ν. 4745/2020 (Α' 214), στις οποίες δεν εξετάζονται μάρτυρες, αποκλειστικά με τη δυνατότητα προσκόμισης ενόρκων βεβαιώσεων. Στην περίπτωση αυτή, λαμβάνει χώρα την προτεραία της δικασίμου έγγραφη δήλωση των πληρεξουσίων δικηγόρων των διαδίκων, ότι η συγκεκριμένη υπόθεση θα εξεταστεί χωρίς την εξέταση μαρτύρων, η οποία κοινοποιείται στις γραμματείες των δικαστηρίων με τη χρήση ηλεκτρονικής αλληλογραφίας στην ηλεκτρονική διεύθυνση irinodikionionia @ yahoo.gr. Εφόσον όλοι οι διάδικοι έχουν υποβάλει δήλωση κατά το προηγούμενο εδάφιο, η υπόθεση συζητείται παρουσία των πληρεξουσίων δικηγόρων, χωρίς την εξέταση μαρτύρων. Οι πληρεξούσιοι δικηγόροι θα πρέπει, στην περίπτωση που η υπόθεση που τους αφορά εισάγεται προς εκφώνηση κατόπιν έγκαιρης υποβολής των έγγραφων δηλώσεων για μη εξέταση μαρτύρων, να παρίστανται νόμιμα σύμφωνα με τα οριζόμενα στις διατάξεις του Κ.Πολ.Δ., προς αποφυγή ερημοδικίας. Σε περίπτωση κατά την οποία δεν υποβληθεί η δήλωση του ανωτέρω εδαφίου από τους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 </w:t>
      </w:r>
      <w:r w:rsidR="0096739B" w:rsidRPr="002A56E3">
        <w:rPr>
          <w:rFonts w:ascii="Arial" w:hAnsi="Arial" w:cs="Arial"/>
          <w:b/>
          <w:sz w:val="24"/>
          <w:szCs w:val="24"/>
        </w:rPr>
        <w:t>Δεν απαιτείται  υποβολή δήλωσης εκ μέρους του εισαγγελέα, όταν παρίσταται ως διάδικος</w:t>
      </w:r>
      <w:r w:rsidR="0096739B">
        <w:rPr>
          <w:rFonts w:ascii="Arial" w:hAnsi="Arial" w:cs="Arial"/>
          <w:i/>
          <w:sz w:val="24"/>
          <w:szCs w:val="24"/>
        </w:rPr>
        <w:t xml:space="preserve">. </w:t>
      </w:r>
      <w:r>
        <w:rPr>
          <w:rFonts w:ascii="Arial" w:hAnsi="Arial" w:cs="Arial"/>
          <w:sz w:val="24"/>
          <w:szCs w:val="24"/>
        </w:rPr>
        <w:t xml:space="preserve">Συναινετικά αιτήματα αναβολής για τις υποπερ. 1) 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καταβολή μεγαροσήμου και τέλους αναβολής</w:t>
      </w:r>
      <w:r>
        <w:rPr>
          <w:rFonts w:ascii="Arial" w:hAnsi="Arial" w:cs="Arial"/>
          <w:i/>
          <w:sz w:val="24"/>
          <w:szCs w:val="24"/>
        </w:rPr>
        <w:t xml:space="preserve">. </w:t>
      </w:r>
      <w:r>
        <w:rPr>
          <w:rFonts w:ascii="Arial" w:hAnsi="Arial" w:cs="Arial"/>
          <w:sz w:val="24"/>
          <w:szCs w:val="24"/>
        </w:rPr>
        <w:t xml:space="preserve">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w:t>
      </w:r>
      <w:r>
        <w:rPr>
          <w:rFonts w:ascii="Arial" w:hAnsi="Arial" w:cs="Arial"/>
          <w:sz w:val="24"/>
          <w:szCs w:val="24"/>
        </w:rPr>
        <w:lastRenderedPageBreak/>
        <w:t xml:space="preserve">μηνύματος ηλεκτρονικού ταχυδρομείου το αργότερο μέχρι τη δωδεκάτη ώρα της προηγούμενης της δικασίμου εργάσιμης ημέρας. </w:t>
      </w:r>
    </w:p>
    <w:p w:rsidR="00E374DD" w:rsidRDefault="00E374DD" w:rsidP="00E374DD">
      <w:pPr>
        <w:spacing w:line="360" w:lineRule="auto"/>
        <w:jc w:val="both"/>
        <w:rPr>
          <w:rFonts w:ascii="Arial" w:hAnsi="Arial" w:cs="Arial"/>
          <w:sz w:val="24"/>
          <w:szCs w:val="24"/>
        </w:rPr>
      </w:pPr>
      <w:r>
        <w:rPr>
          <w:rFonts w:ascii="Arial" w:hAnsi="Arial" w:cs="Arial"/>
          <w:sz w:val="24"/>
          <w:szCs w:val="24"/>
        </w:rPr>
        <w:t xml:space="preserve">       6) Ειδικώς και κατ’ εξαίρεση στις δίκες εκουσίας δικαιοδοσίας, που έχουν ως αντικείμενο την κήρυξη ιδιόγραφης διαθήκης ως κυρίας (803 παρ. 3ΚΠολΔ) δύνανται να εξετάζονται μάρτυρες στο ακροατήριο. Στην περίπτωση δεν απαιτείται υποβολή έγγραφης δήλωσης την προηγούμενη ημέρα της δικασίμου. Η κήρυξη κυρίας αυτών θα γίνεται από τον Ειρηνοδίκη Υπηρεσίας. Οι πληρεξούσιοι δικηγόροι και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στον αίθριο χώρο του Ειρηνοδικείου.</w:t>
      </w:r>
    </w:p>
    <w:p w:rsidR="00E374DD" w:rsidRDefault="00E374DD" w:rsidP="00E374DD">
      <w:pPr>
        <w:spacing w:line="360" w:lineRule="auto"/>
        <w:jc w:val="both"/>
        <w:rPr>
          <w:rFonts w:ascii="Arial" w:hAnsi="Arial" w:cs="Arial"/>
          <w:sz w:val="24"/>
          <w:szCs w:val="24"/>
        </w:rPr>
      </w:pPr>
      <w:r>
        <w:rPr>
          <w:rFonts w:ascii="Arial" w:hAnsi="Arial" w:cs="Arial"/>
          <w:sz w:val="24"/>
          <w:szCs w:val="24"/>
        </w:rPr>
        <w:t xml:space="preserve">    7) Κατατίθενται δικόγραφα πέραν των παραπάνω διαδικασιών που εξαιρούνται της αναστολής και ειδικών διαδικασιών, εκουσίας δικαιοδοσίας, διαταγών πληρωμής και διαταγών απόδοσης μισθίου, δικόγραφα ενδίκων μέσων και βοηθημάτων, κατόπιν επικοινωνίας με τα αρμόδια γραφεία στα τηλέφωνα 2102793289 και 2102725072 για ραντεβού. Παρακαλούνται οι κ.κ. πληρεξούσιοι Δικηγόροι, προς αποφυγή συγχρωτισμού, να προβαίνουν σε ηλεκτρονική κατάθεση δικογράφων, όπου αυτό είναι δυνατό.</w:t>
      </w:r>
    </w:p>
    <w:p w:rsidR="00E374DD" w:rsidRDefault="00E374DD" w:rsidP="00E374DD">
      <w:pPr>
        <w:spacing w:line="360" w:lineRule="auto"/>
        <w:jc w:val="both"/>
        <w:rPr>
          <w:rFonts w:ascii="Arial" w:hAnsi="Arial" w:cs="Arial"/>
          <w:sz w:val="24"/>
          <w:szCs w:val="24"/>
        </w:rPr>
      </w:pPr>
      <w:r>
        <w:rPr>
          <w:rFonts w:ascii="Arial" w:hAnsi="Arial" w:cs="Arial"/>
          <w:sz w:val="24"/>
          <w:szCs w:val="24"/>
        </w:rPr>
        <w:t xml:space="preserve">      8) Η δημοσίευση των δημοσίων διαθηκών, θα λάβει χώρα κανονικά. Επίσης ιδιόγραφες διαθήκες για δημοσίευση μπορούν να προσάγονται στη γραμματεία του δικαστηρίου, μόνο κατόπιν ραντεβού στα πιο πάνω τηλέφωνα. Η δημοσίευση αυτών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E374DD" w:rsidRDefault="00E374DD" w:rsidP="00E374DD">
      <w:pPr>
        <w:spacing w:line="360" w:lineRule="auto"/>
        <w:jc w:val="both"/>
        <w:rPr>
          <w:rFonts w:ascii="Arial" w:hAnsi="Arial" w:cs="Arial"/>
          <w:sz w:val="24"/>
          <w:szCs w:val="24"/>
        </w:rPr>
      </w:pPr>
      <w:r>
        <w:rPr>
          <w:rFonts w:ascii="Arial" w:hAnsi="Arial" w:cs="Arial"/>
          <w:sz w:val="24"/>
          <w:szCs w:val="24"/>
        </w:rPr>
        <w:t xml:space="preserve">      9)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των Ν. 3869/2010 και 4605/2019.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E374DD" w:rsidRDefault="00E374DD" w:rsidP="00E374DD">
      <w:pPr>
        <w:spacing w:line="360" w:lineRule="auto"/>
        <w:jc w:val="both"/>
        <w:rPr>
          <w:rFonts w:ascii="Arial" w:hAnsi="Arial" w:cs="Arial"/>
          <w:sz w:val="24"/>
          <w:szCs w:val="24"/>
        </w:rPr>
      </w:pPr>
      <w:r>
        <w:rPr>
          <w:rFonts w:ascii="Arial" w:hAnsi="Arial" w:cs="Arial"/>
          <w:sz w:val="24"/>
          <w:szCs w:val="24"/>
        </w:rPr>
        <w:lastRenderedPageBreak/>
        <w:t xml:space="preserve">          10)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το άρθρο 161 παρ 1 και 2 του ν. 4764/2020 (Τεύχος A’ 256/23.12. 2020), η ισχύς των οποίων παρατάθηκε με την Υπουργική απόφαση με Αριθμ. 16737/2021 – ΦΕΚ Β 1226/30-03-2021, για το χρονικό διάστημα από την 1η Απριλίου 2021 έως και τις 30 Ιουνίου 2021. Η συζήτηση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παρίστανται στο ακροατήριο του δικαστηρίου, με δήλωση, σύμφωνα με την παρ.2 του άρθρου 242 ΚΠολΔ. </w:t>
      </w:r>
    </w:p>
    <w:p w:rsidR="00E374DD" w:rsidRDefault="00E374DD" w:rsidP="00E374DD">
      <w:pPr>
        <w:spacing w:line="360" w:lineRule="auto"/>
        <w:jc w:val="both"/>
        <w:rPr>
          <w:rFonts w:ascii="Arial" w:hAnsi="Arial" w:cs="Arial"/>
          <w:sz w:val="24"/>
          <w:szCs w:val="24"/>
        </w:rPr>
      </w:pPr>
      <w:r>
        <w:rPr>
          <w:rFonts w:ascii="Arial" w:hAnsi="Arial" w:cs="Arial"/>
          <w:sz w:val="24"/>
          <w:szCs w:val="24"/>
        </w:rPr>
        <w:t xml:space="preserve">      11) Θα λαμβάνονται δηλώσεις αποποίησης κληρονομιάς, κατόπιν ραντεβού προς αποφυγή συνωστισμού. Επίσης θα λαμβάνονται δηλώσεις τρίτου και θα βεβαιώνεται το  γνήσιο υπογραφής συναινετικών διαζυγίων.</w:t>
      </w:r>
    </w:p>
    <w:p w:rsidR="00E374DD" w:rsidRDefault="00E374DD" w:rsidP="00E374DD">
      <w:pPr>
        <w:spacing w:line="360" w:lineRule="auto"/>
        <w:jc w:val="both"/>
        <w:rPr>
          <w:rFonts w:ascii="Arial" w:hAnsi="Arial" w:cs="Arial"/>
          <w:sz w:val="24"/>
          <w:szCs w:val="24"/>
        </w:rPr>
      </w:pPr>
      <w:r>
        <w:rPr>
          <w:rFonts w:ascii="Arial" w:hAnsi="Arial" w:cs="Arial"/>
          <w:sz w:val="24"/>
          <w:szCs w:val="24"/>
        </w:rPr>
        <w:t xml:space="preserve">       12) Νομική βοήθεια θα χορηγείται μόνο για τις ως άνω εξαιρούμενες της αναστολής περιπτώσεις. Η κατάθεση των σχετικών αιτήσεων θα λαμβάνει χώρα κατόπιν προηγούμενης συνεννόησης με τη γραμματεία του δικαστηρίου. </w:t>
      </w:r>
    </w:p>
    <w:p w:rsidR="00E374DD" w:rsidRDefault="00E374DD" w:rsidP="00E374DD">
      <w:pPr>
        <w:spacing w:before="240" w:after="240" w:line="360" w:lineRule="auto"/>
        <w:contextualSpacing/>
        <w:jc w:val="both"/>
        <w:textAlignment w:val="baseline"/>
        <w:rPr>
          <w:rFonts w:ascii="Arial" w:eastAsiaTheme="minorHAnsi" w:hAnsi="Arial" w:cs="Arial"/>
          <w:sz w:val="24"/>
          <w:szCs w:val="24"/>
        </w:rPr>
      </w:pPr>
      <w:r>
        <w:rPr>
          <w:rFonts w:ascii="Arial" w:hAnsi="Arial" w:cs="Arial"/>
          <w:sz w:val="24"/>
          <w:szCs w:val="24"/>
        </w:rPr>
        <w:t xml:space="preserve">      13) Θα λαμβάνονται ένορκες βεβαιώσεις που προσάγονται προαποδεικτικώς με τις προτάσεις μόνο κατόπιν κλήσεως. Για τη λήψη τους θα προηγείται τηλεφωνική επικοινωνία με τη γραμματεία στο τηλέφωνο 2102799494, για την αποφυγή του παρατηρούμενου  στο τμήμα συνωστισμού.</w:t>
      </w:r>
    </w:p>
    <w:p w:rsidR="00E374DD" w:rsidRDefault="00E374DD" w:rsidP="00E374DD">
      <w:pPr>
        <w:spacing w:line="360" w:lineRule="auto"/>
        <w:jc w:val="both"/>
        <w:rPr>
          <w:rFonts w:ascii="Arial" w:hAnsi="Arial" w:cs="Arial"/>
          <w:sz w:val="24"/>
          <w:szCs w:val="24"/>
        </w:rPr>
      </w:pPr>
      <w:r>
        <w:rPr>
          <w:rFonts w:ascii="Arial" w:hAnsi="Arial" w:cs="Arial"/>
          <w:sz w:val="24"/>
          <w:szCs w:val="24"/>
        </w:rPr>
        <w:t xml:space="preserve">       14) Θα δημοσιεύονται αποφάσεις, διατάξεις κληρονομητηρίων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του παρόντος Δικαστηρίου. Οι αιτήσεις για την έκδοση των διατάξεων θα κατατίθενται κατόπιν ραντεβού. </w:t>
      </w:r>
    </w:p>
    <w:p w:rsidR="0096739B" w:rsidRDefault="00E374DD" w:rsidP="00E374DD">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καθώς και εκείνων που, κατά περίπτωση και κατά την κρίση του </w:t>
      </w:r>
      <w:r>
        <w:rPr>
          <w:rFonts w:ascii="Arial" w:hAnsi="Arial" w:cs="Arial"/>
          <w:sz w:val="24"/>
          <w:szCs w:val="24"/>
        </w:rPr>
        <w:lastRenderedPageBreak/>
        <w:t xml:space="preserve">Ειρηνοδίκη υπηρεσίας έχουν κατεπείγοντα χαρακτήρα και χρήζουν άμεσης αντιμετώπισης. </w:t>
      </w:r>
      <w:r>
        <w:rPr>
          <w:rStyle w:val="FontStyle19"/>
          <w:sz w:val="24"/>
          <w:szCs w:val="24"/>
        </w:rPr>
        <w:t xml:space="preserve">Προανάκριση θα διενεργείται κανονικά. </w:t>
      </w:r>
    </w:p>
    <w:p w:rsidR="00E374DD" w:rsidRDefault="0096739B" w:rsidP="00E374DD">
      <w:pPr>
        <w:spacing w:before="240" w:after="240" w:line="360" w:lineRule="auto"/>
        <w:contextualSpacing/>
        <w:jc w:val="both"/>
        <w:textAlignment w:val="baseline"/>
        <w:rPr>
          <w:rFonts w:ascii="Arial" w:eastAsiaTheme="minorHAnsi" w:hAnsi="Arial" w:cs="Arial"/>
          <w:sz w:val="24"/>
          <w:szCs w:val="24"/>
        </w:rPr>
      </w:pPr>
      <w:r>
        <w:rPr>
          <w:rStyle w:val="FontStyle19"/>
          <w:sz w:val="24"/>
          <w:szCs w:val="24"/>
        </w:rPr>
        <w:t xml:space="preserve">         Τη Δευτέρα 12 Απριλίου το δικαστήριο θα λειτουργήσει όπως με την υπ’ αρ. 92/5-4-2021 απόφασή μας, η οποία </w:t>
      </w:r>
      <w:r>
        <w:rPr>
          <w:rFonts w:ascii="Arial" w:hAnsi="Arial" w:cs="Arial"/>
          <w:sz w:val="24"/>
          <w:szCs w:val="24"/>
        </w:rPr>
        <w:t>διατηρείται σε ισχύ μέχρι τότε</w:t>
      </w:r>
      <w:r>
        <w:rPr>
          <w:rStyle w:val="FontStyle19"/>
          <w:sz w:val="24"/>
          <w:szCs w:val="24"/>
        </w:rPr>
        <w:t xml:space="preserve">. </w:t>
      </w:r>
      <w:r w:rsidR="00E374DD">
        <w:rPr>
          <w:rStyle w:val="FontStyle19"/>
          <w:sz w:val="24"/>
          <w:szCs w:val="24"/>
        </w:rPr>
        <w:t xml:space="preserve"> </w:t>
      </w:r>
    </w:p>
    <w:p w:rsidR="00E374DD" w:rsidRDefault="00E374DD" w:rsidP="00E374DD">
      <w:pPr>
        <w:spacing w:line="360" w:lineRule="auto"/>
        <w:jc w:val="both"/>
        <w:rPr>
          <w:rFonts w:ascii="Arial" w:hAnsi="Arial" w:cs="Arial"/>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p>
    <w:p w:rsidR="00E374DD" w:rsidRDefault="00E374DD" w:rsidP="00E374DD">
      <w:pPr>
        <w:spacing w:line="360" w:lineRule="auto"/>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E374DD" w:rsidRDefault="00E374DD" w:rsidP="00E374DD">
      <w:pPr>
        <w:spacing w:line="360" w:lineRule="auto"/>
        <w:rPr>
          <w:rFonts w:ascii="Arial" w:hAnsi="Arial" w:cs="Arial"/>
          <w:sz w:val="24"/>
          <w:szCs w:val="24"/>
        </w:rPr>
      </w:pPr>
      <w:r>
        <w:rPr>
          <w:rFonts w:ascii="Arial" w:hAnsi="Arial" w:cs="Arial"/>
          <w:sz w:val="24"/>
          <w:szCs w:val="24"/>
        </w:rPr>
        <w:t xml:space="preserve">                               </w:t>
      </w:r>
    </w:p>
    <w:p w:rsidR="00E374DD" w:rsidRDefault="00E374DD" w:rsidP="00E374DD">
      <w:pPr>
        <w:spacing w:line="360" w:lineRule="auto"/>
        <w:rPr>
          <w:rFonts w:ascii="Arial" w:hAnsi="Arial" w:cs="Arial"/>
          <w:sz w:val="24"/>
          <w:szCs w:val="24"/>
        </w:rPr>
      </w:pPr>
      <w:r>
        <w:rPr>
          <w:rFonts w:ascii="Arial" w:hAnsi="Arial" w:cs="Arial"/>
          <w:sz w:val="24"/>
          <w:szCs w:val="24"/>
        </w:rPr>
        <w:t xml:space="preserve">                               Παρασκευή Φλούδα</w:t>
      </w:r>
    </w:p>
    <w:p w:rsidR="00E374DD" w:rsidRDefault="00E374DD" w:rsidP="00E374DD">
      <w:pPr>
        <w:spacing w:line="360" w:lineRule="auto"/>
      </w:pPr>
      <w:r>
        <w:rPr>
          <w:rFonts w:ascii="Arial" w:hAnsi="Arial" w:cs="Arial"/>
          <w:sz w:val="24"/>
          <w:szCs w:val="24"/>
        </w:rPr>
        <w:t xml:space="preserve">                       </w:t>
      </w:r>
    </w:p>
    <w:p w:rsidR="00E374DD" w:rsidRDefault="00E374DD" w:rsidP="00E374DD">
      <w:pPr>
        <w:spacing w:line="360" w:lineRule="auto"/>
      </w:pPr>
    </w:p>
    <w:p w:rsidR="00E374DD" w:rsidRDefault="00E374DD" w:rsidP="00E374DD">
      <w:pPr>
        <w:spacing w:line="360" w:lineRule="auto"/>
      </w:pPr>
    </w:p>
    <w:p w:rsidR="00E374DD" w:rsidRDefault="00E374DD" w:rsidP="00E374DD">
      <w:pPr>
        <w:spacing w:line="360" w:lineRule="auto"/>
      </w:pPr>
    </w:p>
    <w:p w:rsidR="00E374DD" w:rsidRDefault="00E374DD" w:rsidP="00E374DD">
      <w:pPr>
        <w:spacing w:line="360" w:lineRule="auto"/>
      </w:pPr>
    </w:p>
    <w:p w:rsidR="00E374DD" w:rsidRDefault="00E374DD" w:rsidP="00E374DD">
      <w:pPr>
        <w:spacing w:line="360" w:lineRule="auto"/>
      </w:pPr>
    </w:p>
    <w:p w:rsidR="00894F90" w:rsidRDefault="00894F90"/>
    <w:sectPr w:rsidR="00894F90" w:rsidSect="00E374DD">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02" w:rsidRDefault="00F01202" w:rsidP="00E374DD">
      <w:pPr>
        <w:spacing w:after="0" w:line="240" w:lineRule="auto"/>
      </w:pPr>
      <w:r>
        <w:separator/>
      </w:r>
    </w:p>
  </w:endnote>
  <w:endnote w:type="continuationSeparator" w:id="0">
    <w:p w:rsidR="00F01202" w:rsidRDefault="00F01202" w:rsidP="00E3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02" w:rsidRDefault="00F01202" w:rsidP="00E374DD">
      <w:pPr>
        <w:spacing w:after="0" w:line="240" w:lineRule="auto"/>
      </w:pPr>
      <w:r>
        <w:separator/>
      </w:r>
    </w:p>
  </w:footnote>
  <w:footnote w:type="continuationSeparator" w:id="0">
    <w:p w:rsidR="00F01202" w:rsidRDefault="00F01202" w:rsidP="00E3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562375"/>
      <w:docPartObj>
        <w:docPartGallery w:val="Page Numbers (Top of Page)"/>
        <w:docPartUnique/>
      </w:docPartObj>
    </w:sdtPr>
    <w:sdtEndPr/>
    <w:sdtContent>
      <w:p w:rsidR="00E374DD" w:rsidRDefault="005C231D">
        <w:pPr>
          <w:pStyle w:val="a3"/>
        </w:pPr>
        <w:r>
          <w:fldChar w:fldCharType="begin"/>
        </w:r>
        <w:r w:rsidR="00E374DD">
          <w:instrText>PAGE   \* MERGEFORMAT</w:instrText>
        </w:r>
        <w:r>
          <w:fldChar w:fldCharType="separate"/>
        </w:r>
        <w:r w:rsidR="005D0121">
          <w:rPr>
            <w:noProof/>
          </w:rPr>
          <w:t>2</w:t>
        </w:r>
        <w:r>
          <w:fldChar w:fldCharType="end"/>
        </w:r>
      </w:p>
    </w:sdtContent>
  </w:sdt>
  <w:p w:rsidR="00E374DD" w:rsidRDefault="00E374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DD"/>
    <w:rsid w:val="000347AD"/>
    <w:rsid w:val="0006150C"/>
    <w:rsid w:val="00062F8D"/>
    <w:rsid w:val="0016624E"/>
    <w:rsid w:val="001811FE"/>
    <w:rsid w:val="002A56E3"/>
    <w:rsid w:val="002B6AB7"/>
    <w:rsid w:val="00523785"/>
    <w:rsid w:val="005C231D"/>
    <w:rsid w:val="005D0121"/>
    <w:rsid w:val="007D3EFB"/>
    <w:rsid w:val="00894F90"/>
    <w:rsid w:val="0096739B"/>
    <w:rsid w:val="009F3851"/>
    <w:rsid w:val="00A63AE6"/>
    <w:rsid w:val="00AE23A8"/>
    <w:rsid w:val="00C3513E"/>
    <w:rsid w:val="00C53931"/>
    <w:rsid w:val="00C80C9A"/>
    <w:rsid w:val="00CE2B18"/>
    <w:rsid w:val="00E374DD"/>
    <w:rsid w:val="00F01202"/>
    <w:rsid w:val="00F630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847B8-A1AE-4AEE-858D-AB023DEC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4DD"/>
    <w:pPr>
      <w:spacing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rsid w:val="00E374DD"/>
    <w:rPr>
      <w:rFonts w:ascii="Arial" w:hAnsi="Arial" w:cs="Arial" w:hint="default"/>
      <w:sz w:val="22"/>
      <w:szCs w:val="22"/>
    </w:rPr>
  </w:style>
  <w:style w:type="paragraph" w:styleId="a3">
    <w:name w:val="header"/>
    <w:basedOn w:val="a"/>
    <w:link w:val="Char"/>
    <w:uiPriority w:val="99"/>
    <w:unhideWhenUsed/>
    <w:rsid w:val="00E374DD"/>
    <w:pPr>
      <w:tabs>
        <w:tab w:val="center" w:pos="4153"/>
        <w:tab w:val="right" w:pos="8306"/>
      </w:tabs>
      <w:spacing w:after="0" w:line="240" w:lineRule="auto"/>
    </w:pPr>
  </w:style>
  <w:style w:type="character" w:customStyle="1" w:styleId="Char">
    <w:name w:val="Κεφαλίδα Char"/>
    <w:basedOn w:val="a0"/>
    <w:link w:val="a3"/>
    <w:uiPriority w:val="99"/>
    <w:rsid w:val="00E374DD"/>
    <w:rPr>
      <w:rFonts w:ascii="Calibri" w:eastAsia="Calibri" w:hAnsi="Calibri" w:cs="Calibri"/>
    </w:rPr>
  </w:style>
  <w:style w:type="paragraph" w:styleId="a4">
    <w:name w:val="footer"/>
    <w:basedOn w:val="a"/>
    <w:link w:val="Char0"/>
    <w:uiPriority w:val="99"/>
    <w:unhideWhenUsed/>
    <w:rsid w:val="00E374DD"/>
    <w:pPr>
      <w:tabs>
        <w:tab w:val="center" w:pos="4153"/>
        <w:tab w:val="right" w:pos="8306"/>
      </w:tabs>
      <w:spacing w:after="0" w:line="240" w:lineRule="auto"/>
    </w:pPr>
  </w:style>
  <w:style w:type="character" w:customStyle="1" w:styleId="Char0">
    <w:name w:val="Υποσέλιδο Char"/>
    <w:basedOn w:val="a0"/>
    <w:link w:val="a4"/>
    <w:uiPriority w:val="99"/>
    <w:rsid w:val="00E374DD"/>
    <w:rPr>
      <w:rFonts w:ascii="Calibri" w:eastAsia="Calibri" w:hAnsi="Calibri" w:cs="Calibri"/>
    </w:rPr>
  </w:style>
  <w:style w:type="paragraph" w:styleId="a5">
    <w:name w:val="Balloon Text"/>
    <w:basedOn w:val="a"/>
    <w:link w:val="Char1"/>
    <w:uiPriority w:val="99"/>
    <w:semiHidden/>
    <w:unhideWhenUsed/>
    <w:rsid w:val="0006150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615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7096">
      <w:bodyDiv w:val="1"/>
      <w:marLeft w:val="0"/>
      <w:marRight w:val="0"/>
      <w:marTop w:val="0"/>
      <w:marBottom w:val="0"/>
      <w:divBdr>
        <w:top w:val="none" w:sz="0" w:space="0" w:color="auto"/>
        <w:left w:val="none" w:sz="0" w:space="0" w:color="auto"/>
        <w:bottom w:val="none" w:sz="0" w:space="0" w:color="auto"/>
        <w:right w:val="none" w:sz="0" w:space="0" w:color="auto"/>
      </w:divBdr>
    </w:div>
    <w:div w:id="1009867185">
      <w:bodyDiv w:val="1"/>
      <w:marLeft w:val="0"/>
      <w:marRight w:val="0"/>
      <w:marTop w:val="0"/>
      <w:marBottom w:val="0"/>
      <w:divBdr>
        <w:top w:val="none" w:sz="0" w:space="0" w:color="auto"/>
        <w:left w:val="none" w:sz="0" w:space="0" w:color="auto"/>
        <w:bottom w:val="none" w:sz="0" w:space="0" w:color="auto"/>
        <w:right w:val="none" w:sz="0" w:space="0" w:color="auto"/>
      </w:divBdr>
    </w:div>
    <w:div w:id="1785030610">
      <w:bodyDiv w:val="1"/>
      <w:marLeft w:val="0"/>
      <w:marRight w:val="0"/>
      <w:marTop w:val="0"/>
      <w:marBottom w:val="0"/>
      <w:divBdr>
        <w:top w:val="none" w:sz="0" w:space="0" w:color="auto"/>
        <w:left w:val="none" w:sz="0" w:space="0" w:color="auto"/>
        <w:bottom w:val="none" w:sz="0" w:space="0" w:color="auto"/>
        <w:right w:val="none" w:sz="0" w:space="0" w:color="auto"/>
      </w:divBdr>
    </w:div>
    <w:div w:id="19721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10851</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2021-04-11T20:21:00Z</dcterms:created>
  <dcterms:modified xsi:type="dcterms:W3CDTF">2021-04-11T20:21:00Z</dcterms:modified>
</cp:coreProperties>
</file>