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1F65CA42" w14:textId="77777777" w:rsidR="00174521" w:rsidRDefault="00174521" w:rsidP="008668D5">
      <w:pPr>
        <w:pStyle w:val="a9"/>
        <w:spacing w:before="200" w:line="360" w:lineRule="auto"/>
        <w:ind w:left="0" w:right="-1" w:firstLine="284"/>
        <w:contextualSpacing w:val="0"/>
        <w:jc w:val="center"/>
        <w:rPr>
          <w:rFonts w:ascii="Arial" w:hAnsi="Arial" w:cs="Arial"/>
          <w:b/>
          <w:sz w:val="23"/>
          <w:szCs w:val="23"/>
        </w:rPr>
      </w:pPr>
    </w:p>
    <w:p w14:paraId="3D1E0C21" w14:textId="46F0CFEE"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6A5570C2" w:rsidR="009F6BB1" w:rsidRPr="003E2D8C" w:rsidRDefault="003E2D8C" w:rsidP="003E2D8C">
      <w:pPr>
        <w:pStyle w:val="a9"/>
        <w:spacing w:before="200" w:line="360" w:lineRule="auto"/>
        <w:ind w:left="0" w:firstLine="284"/>
        <w:contextualSpacing w:val="0"/>
        <w:rPr>
          <w:rFonts w:ascii="Arial" w:hAnsi="Arial" w:cs="Arial"/>
          <w:b/>
          <w:sz w:val="32"/>
          <w:szCs w:val="32"/>
        </w:rPr>
      </w:pPr>
      <w:r>
        <w:rPr>
          <w:rFonts w:ascii="Arial" w:hAnsi="Arial" w:cs="Arial"/>
          <w:b/>
          <w:sz w:val="32"/>
          <w:szCs w:val="32"/>
        </w:rPr>
        <w:t xml:space="preserve">                                            </w:t>
      </w:r>
      <w:r w:rsidR="00490448" w:rsidRPr="003E2D8C">
        <w:rPr>
          <w:rFonts w:ascii="Arial" w:hAnsi="Arial" w:cs="Arial"/>
          <w:b/>
          <w:sz w:val="32"/>
          <w:szCs w:val="32"/>
        </w:rPr>
        <w:t xml:space="preserve"> </w:t>
      </w:r>
      <w:r w:rsidRPr="003E2D8C">
        <w:rPr>
          <w:rFonts w:ascii="Arial" w:hAnsi="Arial" w:cs="Arial"/>
          <w:b/>
          <w:sz w:val="32"/>
          <w:szCs w:val="32"/>
        </w:rPr>
        <w:t>36</w:t>
      </w:r>
      <w:r w:rsidR="00490448" w:rsidRPr="003E2D8C">
        <w:rPr>
          <w:rFonts w:ascii="Arial" w:hAnsi="Arial" w:cs="Arial"/>
          <w:b/>
          <w:sz w:val="32"/>
          <w:szCs w:val="32"/>
        </w:rPr>
        <w:t xml:space="preserve"> /2021</w:t>
      </w:r>
    </w:p>
    <w:p w14:paraId="297411A2" w14:textId="343DEC24" w:rsidR="009F6BB1" w:rsidRPr="008668D5" w:rsidRDefault="00490448" w:rsidP="00AA0D82">
      <w:pPr>
        <w:pStyle w:val="a9"/>
        <w:tabs>
          <w:tab w:val="left" w:pos="567"/>
        </w:tabs>
        <w:spacing w:before="20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AA0D82">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1D776445" w:rsidR="009F6BB1" w:rsidRPr="008668D5" w:rsidRDefault="005449A6" w:rsidP="00AA0D82">
      <w:pPr>
        <w:pStyle w:val="a9"/>
        <w:numPr>
          <w:ilvl w:val="0"/>
          <w:numId w:val="1"/>
        </w:numPr>
        <w:tabs>
          <w:tab w:val="left" w:pos="567"/>
        </w:tabs>
        <w:spacing w:before="20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82269E">
        <w:rPr>
          <w:rFonts w:ascii="Arial" w:hAnsi="Arial" w:cs="Arial"/>
          <w:sz w:val="23"/>
          <w:szCs w:val="23"/>
        </w:rPr>
        <w:t>38197</w:t>
      </w:r>
      <w:r w:rsidR="008C758D" w:rsidRPr="008668D5">
        <w:rPr>
          <w:rFonts w:ascii="Arial" w:hAnsi="Arial" w:cs="Arial"/>
          <w:sz w:val="23"/>
          <w:szCs w:val="23"/>
        </w:rPr>
        <w:t xml:space="preserve"> Κ.Υ.Α. (ΦΕΚ τ. Β’ </w:t>
      </w:r>
      <w:r w:rsidR="00C24A52">
        <w:rPr>
          <w:rFonts w:ascii="Arial" w:hAnsi="Arial" w:cs="Arial"/>
          <w:sz w:val="23"/>
          <w:szCs w:val="23"/>
        </w:rPr>
        <w:t>2</w:t>
      </w:r>
      <w:r w:rsidR="0082269E">
        <w:rPr>
          <w:rFonts w:ascii="Arial" w:hAnsi="Arial" w:cs="Arial"/>
          <w:sz w:val="23"/>
          <w:szCs w:val="23"/>
        </w:rPr>
        <w:t>660/18</w:t>
      </w:r>
      <w:r w:rsidR="008C758D" w:rsidRPr="008668D5">
        <w:rPr>
          <w:rFonts w:ascii="Arial" w:hAnsi="Arial" w:cs="Arial"/>
          <w:sz w:val="23"/>
          <w:szCs w:val="23"/>
        </w:rPr>
        <w:t>-</w:t>
      </w:r>
      <w:r w:rsidR="000253CC" w:rsidRPr="000253CC">
        <w:rPr>
          <w:rFonts w:ascii="Arial" w:hAnsi="Arial" w:cs="Arial"/>
          <w:sz w:val="23"/>
          <w:szCs w:val="23"/>
        </w:rPr>
        <w:t>6</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w:t>
      </w:r>
      <w:r w:rsidR="00716A55">
        <w:rPr>
          <w:rFonts w:ascii="Arial" w:hAnsi="Arial" w:cs="Arial"/>
          <w:sz w:val="23"/>
          <w:szCs w:val="23"/>
        </w:rPr>
        <w:t>, μεταξύ άλλων,</w:t>
      </w:r>
      <w:r w:rsidR="005D3FE8">
        <w:rPr>
          <w:rFonts w:ascii="Arial" w:hAnsi="Arial" w:cs="Arial"/>
          <w:sz w:val="23"/>
          <w:szCs w:val="23"/>
        </w:rPr>
        <w:t xml:space="preserve"> και</w:t>
      </w:r>
      <w:r w:rsidR="00716A55">
        <w:rPr>
          <w:rFonts w:ascii="Arial" w:hAnsi="Arial" w:cs="Arial"/>
          <w:sz w:val="23"/>
          <w:szCs w:val="23"/>
        </w:rPr>
        <w:t xml:space="preserve"> </w:t>
      </w:r>
      <w:r w:rsidR="002B3693">
        <w:rPr>
          <w:rFonts w:ascii="Arial" w:hAnsi="Arial" w:cs="Arial"/>
          <w:sz w:val="23"/>
          <w:szCs w:val="23"/>
        </w:rPr>
        <w:t xml:space="preserve">αναφορικά με </w:t>
      </w:r>
      <w:r w:rsidR="00716A55">
        <w:rPr>
          <w:rFonts w:ascii="Arial" w:hAnsi="Arial" w:cs="Arial"/>
          <w:sz w:val="23"/>
          <w:szCs w:val="23"/>
        </w:rPr>
        <w:t>τη λειτουργία των Δικαστηρίων,</w:t>
      </w:r>
      <w:r w:rsidR="00490448" w:rsidRPr="008668D5">
        <w:rPr>
          <w:rFonts w:ascii="Arial" w:hAnsi="Arial" w:cs="Arial"/>
          <w:sz w:val="23"/>
          <w:szCs w:val="23"/>
        </w:rPr>
        <w:t xml:space="preserve">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w:t>
      </w:r>
      <w:r w:rsidR="0082269E">
        <w:rPr>
          <w:rFonts w:ascii="Arial" w:hAnsi="Arial" w:cs="Arial"/>
          <w:bCs/>
          <w:sz w:val="23"/>
          <w:szCs w:val="23"/>
        </w:rPr>
        <w:t>ο Σάββατο 19</w:t>
      </w:r>
      <w:r w:rsidR="00490448" w:rsidRPr="008668D5">
        <w:rPr>
          <w:rFonts w:ascii="Arial" w:hAnsi="Arial" w:cs="Arial"/>
          <w:sz w:val="23"/>
          <w:szCs w:val="23"/>
        </w:rPr>
        <w:t>-</w:t>
      </w:r>
      <w:r w:rsidR="000253CC" w:rsidRPr="000253CC">
        <w:rPr>
          <w:rFonts w:ascii="Arial" w:hAnsi="Arial" w:cs="Arial"/>
          <w:sz w:val="23"/>
          <w:szCs w:val="23"/>
        </w:rPr>
        <w:t>6</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C24A52">
        <w:rPr>
          <w:rFonts w:ascii="Arial" w:hAnsi="Arial" w:cs="Arial"/>
          <w:sz w:val="23"/>
          <w:szCs w:val="23"/>
        </w:rPr>
        <w:t>2</w:t>
      </w:r>
      <w:r w:rsidR="0082269E">
        <w:rPr>
          <w:rFonts w:ascii="Arial" w:hAnsi="Arial" w:cs="Arial"/>
          <w:sz w:val="23"/>
          <w:szCs w:val="23"/>
        </w:rPr>
        <w:t>8</w:t>
      </w:r>
      <w:r w:rsidR="00490448" w:rsidRPr="008668D5">
        <w:rPr>
          <w:rFonts w:ascii="Arial" w:hAnsi="Arial" w:cs="Arial"/>
          <w:sz w:val="23"/>
          <w:szCs w:val="23"/>
        </w:rPr>
        <w:t>-</w:t>
      </w:r>
      <w:r w:rsidR="00110487">
        <w:rPr>
          <w:rFonts w:ascii="Arial" w:hAnsi="Arial" w:cs="Arial"/>
          <w:sz w:val="23"/>
          <w:szCs w:val="23"/>
        </w:rPr>
        <w:t>6</w:t>
      </w:r>
      <w:r w:rsidR="00490448" w:rsidRPr="008668D5">
        <w:rPr>
          <w:rFonts w:ascii="Arial" w:hAnsi="Arial" w:cs="Arial"/>
          <w:sz w:val="23"/>
          <w:szCs w:val="23"/>
        </w:rPr>
        <w:t>-2021 και ώρα 6:00</w:t>
      </w:r>
      <w:r w:rsidR="00555E93">
        <w:rPr>
          <w:rFonts w:ascii="Arial" w:hAnsi="Arial" w:cs="Arial"/>
          <w:bCs/>
          <w:sz w:val="23"/>
          <w:szCs w:val="23"/>
        </w:rPr>
        <w:t>,</w:t>
      </w:r>
    </w:p>
    <w:p w14:paraId="07CA5FA7" w14:textId="2BD334C0" w:rsidR="009F6BB1" w:rsidRPr="008668D5" w:rsidRDefault="00490448" w:rsidP="00AA0D82">
      <w:pPr>
        <w:pStyle w:val="a9"/>
        <w:numPr>
          <w:ilvl w:val="0"/>
          <w:numId w:val="1"/>
        </w:numPr>
        <w:tabs>
          <w:tab w:val="left" w:pos="567"/>
        </w:tabs>
        <w:spacing w:before="20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E40CFB">
        <w:rPr>
          <w:rFonts w:ascii="Arial" w:hAnsi="Arial" w:cs="Arial"/>
          <w:color w:val="000000"/>
          <w:sz w:val="23"/>
          <w:szCs w:val="23"/>
        </w:rPr>
        <w:t xml:space="preserve"> σημείο </w:t>
      </w:r>
      <w:r w:rsidR="00555E93">
        <w:rPr>
          <w:rFonts w:ascii="Arial" w:hAnsi="Arial" w:cs="Arial"/>
          <w:color w:val="000000"/>
          <w:sz w:val="23"/>
          <w:szCs w:val="23"/>
        </w:rPr>
        <w:t>3</w:t>
      </w:r>
      <w:r w:rsidR="00E40CFB">
        <w:rPr>
          <w:rFonts w:ascii="Arial" w:hAnsi="Arial" w:cs="Arial"/>
          <w:color w:val="000000"/>
          <w:sz w:val="23"/>
          <w:szCs w:val="23"/>
        </w:rPr>
        <w:t xml:space="preserve">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AA0D82">
      <w:pPr>
        <w:pStyle w:val="a9"/>
        <w:numPr>
          <w:ilvl w:val="0"/>
          <w:numId w:val="1"/>
        </w:numPr>
        <w:tabs>
          <w:tab w:val="left" w:pos="567"/>
        </w:tabs>
        <w:spacing w:before="20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C85E45">
      <w:pPr>
        <w:pStyle w:val="a9"/>
        <w:tabs>
          <w:tab w:val="left" w:pos="567"/>
        </w:tabs>
        <w:spacing w:before="36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0AB0A770"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00D77FFE">
        <w:rPr>
          <w:rFonts w:ascii="Arial" w:hAnsi="Arial" w:cs="Arial"/>
          <w:b/>
          <w:sz w:val="23"/>
          <w:szCs w:val="23"/>
          <w:u w:val="single"/>
        </w:rPr>
        <w:t>1</w:t>
      </w:r>
      <w:r w:rsidR="00224B0A">
        <w:rPr>
          <w:rFonts w:ascii="Arial" w:hAnsi="Arial" w:cs="Arial"/>
          <w:b/>
          <w:sz w:val="23"/>
          <w:szCs w:val="23"/>
          <w:u w:val="single"/>
        </w:rPr>
        <w:t>9</w:t>
      </w:r>
      <w:r w:rsidRPr="00E94C69">
        <w:rPr>
          <w:rFonts w:ascii="Arial" w:hAnsi="Arial" w:cs="Arial"/>
          <w:b/>
          <w:sz w:val="23"/>
          <w:szCs w:val="23"/>
          <w:u w:val="single"/>
        </w:rPr>
        <w:t>-</w:t>
      </w:r>
      <w:r w:rsidR="000253CC" w:rsidRPr="000253CC">
        <w:rPr>
          <w:rFonts w:ascii="Arial" w:hAnsi="Arial" w:cs="Arial"/>
          <w:b/>
          <w:sz w:val="23"/>
          <w:szCs w:val="23"/>
          <w:u w:val="single"/>
        </w:rPr>
        <w:t>6</w:t>
      </w:r>
      <w:r w:rsidRPr="00E94C69">
        <w:rPr>
          <w:rFonts w:ascii="Arial" w:hAnsi="Arial" w:cs="Arial"/>
          <w:b/>
          <w:sz w:val="23"/>
          <w:szCs w:val="23"/>
          <w:u w:val="single"/>
        </w:rPr>
        <w:t xml:space="preserve">-2021 και ώρα 6:00 έως και </w:t>
      </w:r>
    </w:p>
    <w:p w14:paraId="241250EB" w14:textId="7C84140D" w:rsidR="009F6BB1" w:rsidRPr="008668D5" w:rsidRDefault="00D77FFE" w:rsidP="00C85E45">
      <w:pPr>
        <w:pStyle w:val="a9"/>
        <w:tabs>
          <w:tab w:val="left" w:pos="567"/>
        </w:tabs>
        <w:spacing w:after="360" w:line="360" w:lineRule="auto"/>
        <w:ind w:left="0" w:firstLine="284"/>
        <w:contextualSpacing w:val="0"/>
        <w:jc w:val="center"/>
        <w:rPr>
          <w:rFonts w:ascii="Arial" w:hAnsi="Arial" w:cs="Arial"/>
          <w:sz w:val="23"/>
          <w:szCs w:val="23"/>
        </w:rPr>
      </w:pPr>
      <w:r>
        <w:rPr>
          <w:rFonts w:ascii="Arial" w:hAnsi="Arial" w:cs="Arial"/>
          <w:b/>
          <w:sz w:val="23"/>
          <w:szCs w:val="23"/>
          <w:u w:val="single"/>
        </w:rPr>
        <w:t>28</w:t>
      </w:r>
      <w:r w:rsidR="00E94C69" w:rsidRPr="00E94C69">
        <w:rPr>
          <w:rFonts w:ascii="Arial" w:hAnsi="Arial" w:cs="Arial"/>
          <w:b/>
          <w:sz w:val="23"/>
          <w:szCs w:val="23"/>
          <w:u w:val="single"/>
        </w:rPr>
        <w:t>-</w:t>
      </w:r>
      <w:r w:rsidR="00110487">
        <w:rPr>
          <w:rFonts w:ascii="Arial" w:hAnsi="Arial" w:cs="Arial"/>
          <w:b/>
          <w:sz w:val="23"/>
          <w:szCs w:val="23"/>
          <w:u w:val="single"/>
        </w:rPr>
        <w:t>6</w:t>
      </w:r>
      <w:r w:rsidR="00E94C69"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7DE0773B" w14:textId="064BB7BC" w:rsidR="00D77FFE" w:rsidRPr="00D77FFE" w:rsidRDefault="00D77FFE" w:rsidP="00EE168F">
      <w:pPr>
        <w:spacing w:before="240" w:after="240" w:line="360" w:lineRule="auto"/>
        <w:ind w:firstLine="284"/>
        <w:jc w:val="both"/>
        <w:rPr>
          <w:rFonts w:ascii="Arial" w:hAnsi="Arial" w:cs="Arial"/>
          <w:sz w:val="23"/>
          <w:szCs w:val="23"/>
        </w:rPr>
      </w:pPr>
      <w:r w:rsidRPr="00D77FFE">
        <w:rPr>
          <w:rFonts w:ascii="Arial" w:hAnsi="Arial" w:cs="Arial"/>
          <w:b/>
          <w:sz w:val="23"/>
          <w:szCs w:val="23"/>
        </w:rPr>
        <w:t>1)</w:t>
      </w:r>
      <w:r>
        <w:rPr>
          <w:rFonts w:ascii="Arial" w:hAnsi="Arial" w:cs="Arial"/>
          <w:bCs/>
          <w:sz w:val="23"/>
          <w:szCs w:val="23"/>
        </w:rPr>
        <w:t xml:space="preserve"> Τα </w:t>
      </w:r>
      <w:r w:rsidRPr="00D77FFE">
        <w:rPr>
          <w:rFonts w:ascii="Arial" w:hAnsi="Arial" w:cs="Arial"/>
          <w:b/>
          <w:sz w:val="23"/>
          <w:szCs w:val="23"/>
          <w:u w:val="single"/>
        </w:rPr>
        <w:t xml:space="preserve">αιτήματα </w:t>
      </w:r>
      <w:r w:rsidRPr="000B1A30">
        <w:rPr>
          <w:rFonts w:ascii="Arial" w:hAnsi="Arial" w:cs="Arial"/>
          <w:b/>
          <w:sz w:val="23"/>
          <w:szCs w:val="23"/>
          <w:u w:val="single"/>
        </w:rPr>
        <w:t>χορήγησης ή ανάκλησης προσωρινών διαταγών</w:t>
      </w:r>
      <w:r w:rsidRPr="00D77FFE">
        <w:rPr>
          <w:rFonts w:ascii="Arial" w:hAnsi="Arial" w:cs="Arial"/>
          <w:bCs/>
          <w:sz w:val="23"/>
          <w:szCs w:val="23"/>
        </w:rPr>
        <w:t xml:space="preserve"> (ασφαλιστικών μέτρων και εκούσιας δικαιοδοσίας [συμπεριλαμβανομένων των Ν. 3869/2010 και 4605/2019]) θα συζητούνται, χωρίς την εξέταση μαρτύρων, με κλήτευση του καθ’ ου,</w:t>
      </w:r>
      <w:r w:rsidRPr="00D77FFE">
        <w:rPr>
          <w:rFonts w:ascii="Arial" w:hAnsi="Arial" w:cs="Arial"/>
          <w:b/>
          <w:sz w:val="23"/>
          <w:szCs w:val="23"/>
        </w:rPr>
        <w:t xml:space="preserve"> </w:t>
      </w:r>
      <w:r w:rsidRPr="00534971">
        <w:rPr>
          <w:rFonts w:ascii="Arial" w:hAnsi="Arial" w:cs="Arial"/>
          <w:b/>
          <w:sz w:val="23"/>
          <w:szCs w:val="23"/>
          <w:u w:val="single"/>
        </w:rPr>
        <w:t xml:space="preserve">διά έγγραφων </w:t>
      </w:r>
      <w:r w:rsidRPr="00534971">
        <w:rPr>
          <w:rFonts w:ascii="Arial" w:hAnsi="Arial" w:cs="Arial"/>
          <w:b/>
          <w:sz w:val="23"/>
          <w:szCs w:val="23"/>
          <w:u w:val="single"/>
        </w:rPr>
        <w:lastRenderedPageBreak/>
        <w:t>υπομνημάτων</w:t>
      </w:r>
      <w:r w:rsidRPr="000B1A30">
        <w:rPr>
          <w:rFonts w:ascii="Arial" w:hAnsi="Arial" w:cs="Arial"/>
          <w:bCs/>
          <w:sz w:val="23"/>
          <w:szCs w:val="23"/>
          <w:u w:val="single"/>
        </w:rPr>
        <w:t xml:space="preserve"> των πληρεξουσίων Δικηγόρων των διαδίκων, τα οποία θα προσκομίζονται</w:t>
      </w:r>
      <w:r w:rsidRPr="008668D5">
        <w:rPr>
          <w:rFonts w:ascii="Arial" w:hAnsi="Arial" w:cs="Arial"/>
          <w:bCs/>
          <w:sz w:val="23"/>
          <w:szCs w:val="23"/>
        </w:rPr>
        <w:t xml:space="preserve">, μαζί με το γραμμάτιο προείσπραξης και τις οικείες εκθέσεις επίδοσης, </w:t>
      </w:r>
      <w:r w:rsidRPr="000B1A30">
        <w:rPr>
          <w:rFonts w:ascii="Arial" w:hAnsi="Arial" w:cs="Arial"/>
          <w:bCs/>
          <w:sz w:val="23"/>
          <w:szCs w:val="23"/>
          <w:u w:val="single"/>
        </w:rPr>
        <w:t>από τους αυτοπροσώπως παριστάμενους πληρεξούσιους Δικηγόρους</w:t>
      </w:r>
      <w:r>
        <w:rPr>
          <w:rFonts w:ascii="Arial" w:hAnsi="Arial" w:cs="Arial"/>
          <w:bCs/>
          <w:sz w:val="23"/>
          <w:szCs w:val="23"/>
        </w:rPr>
        <w:t xml:space="preserve"> κατά την προσδιορισθείσα δικάσιμο. </w:t>
      </w:r>
      <w:r w:rsidRPr="008668D5">
        <w:rPr>
          <w:rFonts w:ascii="Arial" w:hAnsi="Arial" w:cs="Arial"/>
          <w:bCs/>
          <w:sz w:val="23"/>
          <w:szCs w:val="23"/>
        </w:rPr>
        <w:t>Σε περίπτωση που δεν υποβληθεί υπόμνημα από κανέναν από τους διαδίκους, η</w:t>
      </w:r>
      <w:r>
        <w:rPr>
          <w:rFonts w:ascii="Arial" w:hAnsi="Arial" w:cs="Arial"/>
          <w:bCs/>
          <w:sz w:val="23"/>
          <w:szCs w:val="23"/>
        </w:rPr>
        <w:t xml:space="preserve"> </w:t>
      </w:r>
      <w:r w:rsidRPr="008668D5">
        <w:rPr>
          <w:rFonts w:ascii="Arial" w:hAnsi="Arial" w:cs="Arial"/>
          <w:bCs/>
          <w:sz w:val="23"/>
          <w:szCs w:val="23"/>
        </w:rPr>
        <w:t>συζήτηση θα ματαιώνεται</w:t>
      </w:r>
      <w:r>
        <w:rPr>
          <w:rFonts w:ascii="Arial" w:hAnsi="Arial" w:cs="Arial"/>
          <w:bCs/>
          <w:sz w:val="23"/>
          <w:szCs w:val="23"/>
        </w:rPr>
        <w:t xml:space="preserve"> (και δεν θα αποσύρεται)</w:t>
      </w:r>
      <w:r w:rsidRPr="008668D5">
        <w:rPr>
          <w:rFonts w:ascii="Arial" w:hAnsi="Arial" w:cs="Arial"/>
          <w:bCs/>
          <w:sz w:val="23"/>
          <w:szCs w:val="23"/>
        </w:rPr>
        <w:t xml:space="preserve">. </w:t>
      </w:r>
      <w:r w:rsidRPr="000B1A30">
        <w:rPr>
          <w:rFonts w:ascii="Arial" w:hAnsi="Arial" w:cs="Arial"/>
          <w:b/>
          <w:sz w:val="23"/>
          <w:szCs w:val="23"/>
          <w:u w:val="single"/>
        </w:rPr>
        <w:t>Συναινετικά αιτήματα αναβολής</w:t>
      </w:r>
      <w:r w:rsidRPr="008668D5">
        <w:rPr>
          <w:rFonts w:ascii="Arial" w:hAnsi="Arial" w:cs="Arial"/>
          <w:bCs/>
          <w:sz w:val="23"/>
          <w:szCs w:val="23"/>
        </w:rPr>
        <w:t xml:space="preserve"> μπορούν να υποβάλλονται</w:t>
      </w:r>
      <w:r>
        <w:rPr>
          <w:rFonts w:ascii="Arial" w:hAnsi="Arial" w:cs="Arial"/>
          <w:bCs/>
          <w:sz w:val="23"/>
          <w:szCs w:val="23"/>
        </w:rPr>
        <w:t xml:space="preserve">,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bCs/>
          <w:sz w:val="23"/>
          <w:szCs w:val="23"/>
        </w:rPr>
        <w:t>, με κοινή ανέκκλητη δήλωση των πληρεξουσίων Δικηγόρων όλων των διαδίκων,</w:t>
      </w:r>
      <w:r>
        <w:rPr>
          <w:rFonts w:ascii="Arial" w:hAnsi="Arial" w:cs="Arial"/>
          <w:bCs/>
          <w:sz w:val="23"/>
          <w:szCs w:val="23"/>
        </w:rPr>
        <w:t xml:space="preserve"> </w:t>
      </w:r>
      <w:r w:rsidRPr="008668D5">
        <w:rPr>
          <w:rFonts w:ascii="Arial" w:hAnsi="Arial" w:cs="Arial"/>
          <w:sz w:val="23"/>
          <w:szCs w:val="23"/>
        </w:rPr>
        <w:t>κατ’ απόκλιση της παρ. 2 του άρθρου 115 ΚΠολΔ, η οποία (δήλωση)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Pr>
          <w:rFonts w:ascii="Arial" w:hAnsi="Arial" w:cs="Arial"/>
          <w:sz w:val="23"/>
          <w:szCs w:val="23"/>
        </w:rPr>
        <w:t xml:space="preserve">χορηγείται </w:t>
      </w:r>
      <w:r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r>
        <w:rPr>
          <w:rFonts w:ascii="Arial" w:hAnsi="Arial" w:cs="Arial"/>
          <w:sz w:val="23"/>
          <w:szCs w:val="23"/>
        </w:rPr>
        <w:t xml:space="preserve"> </w:t>
      </w:r>
      <w:r w:rsidRPr="00D77FFE">
        <w:rPr>
          <w:rFonts w:ascii="Arial" w:hAnsi="Arial" w:cs="Arial"/>
          <w:bCs/>
          <w:sz w:val="23"/>
          <w:szCs w:val="23"/>
        </w:rPr>
        <w:t xml:space="preserve">Οι προσωρινές διαταγές που έχουν ήδη χορηγηθεί </w:t>
      </w:r>
      <w:r>
        <w:rPr>
          <w:rFonts w:ascii="Arial" w:hAnsi="Arial" w:cs="Arial"/>
          <w:bCs/>
          <w:sz w:val="23"/>
          <w:szCs w:val="23"/>
        </w:rPr>
        <w:t>επί υποθέσεων</w:t>
      </w:r>
      <w:r w:rsidR="00E66A82">
        <w:rPr>
          <w:rFonts w:ascii="Arial" w:hAnsi="Arial" w:cs="Arial"/>
          <w:bCs/>
          <w:sz w:val="23"/>
          <w:szCs w:val="23"/>
        </w:rPr>
        <w:t>,</w:t>
      </w:r>
      <w:r>
        <w:rPr>
          <w:rFonts w:ascii="Arial" w:hAnsi="Arial" w:cs="Arial"/>
          <w:bCs/>
          <w:sz w:val="23"/>
          <w:szCs w:val="23"/>
        </w:rPr>
        <w:t xml:space="preserve"> η συζήτηση των οποίων αναστέλλεται με βάση την προαναφερθείσα Κ.Υ.Α.</w:t>
      </w:r>
      <w:r w:rsidR="00E66A82">
        <w:rPr>
          <w:rFonts w:ascii="Arial" w:hAnsi="Arial" w:cs="Arial"/>
          <w:bCs/>
          <w:sz w:val="23"/>
          <w:szCs w:val="23"/>
        </w:rPr>
        <w:t>,</w:t>
      </w:r>
      <w:r>
        <w:rPr>
          <w:rFonts w:ascii="Arial" w:hAnsi="Arial" w:cs="Arial"/>
          <w:bCs/>
          <w:sz w:val="23"/>
          <w:szCs w:val="23"/>
        </w:rPr>
        <w:t xml:space="preserve"> </w:t>
      </w:r>
      <w:r w:rsidRPr="00D77FFE">
        <w:rPr>
          <w:rFonts w:ascii="Arial" w:hAnsi="Arial" w:cs="Arial"/>
          <w:bCs/>
          <w:sz w:val="23"/>
          <w:szCs w:val="23"/>
        </w:rPr>
        <w:t xml:space="preserve">και έχουν ισχύ έως τη συζήτηση </w:t>
      </w:r>
      <w:r>
        <w:rPr>
          <w:rFonts w:ascii="Arial" w:hAnsi="Arial" w:cs="Arial"/>
          <w:bCs/>
          <w:sz w:val="23"/>
          <w:szCs w:val="23"/>
        </w:rPr>
        <w:t>αυτών</w:t>
      </w:r>
      <w:r w:rsidRPr="00D77FFE">
        <w:rPr>
          <w:rFonts w:ascii="Arial" w:hAnsi="Arial" w:cs="Arial"/>
          <w:bCs/>
          <w:sz w:val="23"/>
          <w:szCs w:val="23"/>
        </w:rPr>
        <w:t xml:space="preserve">, </w:t>
      </w:r>
      <w:r>
        <w:rPr>
          <w:rFonts w:ascii="Arial" w:hAnsi="Arial" w:cs="Arial"/>
          <w:bCs/>
          <w:sz w:val="23"/>
          <w:szCs w:val="23"/>
        </w:rPr>
        <w:t>με προσδιορισθείσα δικάσιμο</w:t>
      </w:r>
      <w:r w:rsidRPr="00D77FFE">
        <w:rPr>
          <w:rFonts w:ascii="Arial" w:hAnsi="Arial" w:cs="Arial"/>
          <w:bCs/>
          <w:sz w:val="23"/>
          <w:szCs w:val="23"/>
        </w:rPr>
        <w:t xml:space="preserve"> κατά το άνω χρονικό διάστημα,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 άλλως, θα λογίζονται αυτοδικαίως παραταθείσες μέχρι τη νέα δικάσιμο, που θα ορισθεί (βλ. άρθρο 83 παρ. 8 του Ν. 4790/2021).</w:t>
      </w:r>
    </w:p>
    <w:p w14:paraId="2833F15B" w14:textId="6FDFB9FE" w:rsidR="00716A55" w:rsidRPr="008668D5" w:rsidRDefault="00D77FFE" w:rsidP="00EE168F">
      <w:pPr>
        <w:spacing w:before="240" w:after="240" w:line="360" w:lineRule="auto"/>
        <w:ind w:firstLine="284"/>
        <w:jc w:val="both"/>
        <w:rPr>
          <w:rFonts w:ascii="Arial" w:hAnsi="Arial" w:cs="Arial"/>
          <w:sz w:val="23"/>
          <w:szCs w:val="23"/>
        </w:rPr>
      </w:pPr>
      <w:r w:rsidRPr="00D77FFE">
        <w:rPr>
          <w:rFonts w:ascii="Arial" w:hAnsi="Arial" w:cs="Arial"/>
          <w:b/>
          <w:bCs/>
          <w:sz w:val="23"/>
          <w:szCs w:val="23"/>
        </w:rPr>
        <w:t>2)</w:t>
      </w:r>
      <w:r>
        <w:rPr>
          <w:rFonts w:ascii="Arial" w:hAnsi="Arial" w:cs="Arial"/>
          <w:sz w:val="23"/>
          <w:szCs w:val="23"/>
        </w:rPr>
        <w:t xml:space="preserve"> </w:t>
      </w:r>
      <w:r w:rsidR="00716A55">
        <w:rPr>
          <w:rFonts w:ascii="Arial" w:hAnsi="Arial" w:cs="Arial"/>
          <w:sz w:val="23"/>
          <w:szCs w:val="23"/>
        </w:rPr>
        <w:t xml:space="preserve">Η </w:t>
      </w:r>
      <w:r w:rsidR="00716A55" w:rsidRPr="00E826EC">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sidR="00716A55" w:rsidRPr="008668D5">
        <w:rPr>
          <w:rFonts w:ascii="Arial" w:hAnsi="Arial" w:cs="Arial"/>
          <w:sz w:val="23"/>
          <w:szCs w:val="23"/>
        </w:rPr>
        <w:t xml:space="preserve"> θα διεξάγεται </w:t>
      </w:r>
      <w:r w:rsidR="00716A55" w:rsidRPr="00E826EC">
        <w:rPr>
          <w:rFonts w:ascii="Arial" w:hAnsi="Arial" w:cs="Arial"/>
          <w:sz w:val="23"/>
          <w:szCs w:val="23"/>
          <w:u w:val="single"/>
        </w:rPr>
        <w:t>μόνο εγγράφως</w:t>
      </w:r>
      <w:r w:rsidR="00716A55" w:rsidRPr="008668D5">
        <w:rPr>
          <w:rFonts w:ascii="Arial" w:hAnsi="Arial" w:cs="Arial"/>
          <w:sz w:val="23"/>
          <w:szCs w:val="23"/>
        </w:rPr>
        <w:t>, χωρίς τη φυσική παρουσία των διαδίκων, κατά παρέκκλιση της παρ. 2 του άρθρου 115 ΚΠολΔ, σύμφωνα με τα ειδικώς προβλεπόμενα στη διάταξη του άρθρου 161 του Ν. 4764/2020</w:t>
      </w:r>
      <w:r w:rsidR="00716A55">
        <w:rPr>
          <w:rFonts w:ascii="Arial" w:hAnsi="Arial" w:cs="Arial"/>
          <w:sz w:val="23"/>
          <w:szCs w:val="23"/>
        </w:rPr>
        <w:t>, η ισχύς του οποίου παρατάθηκε μέχρι τις 30-6-2021 (βλ. υπ’ αριθ. 16737 Υ.Α. [ΦΕΚ τ. Β’ 1226/30-3-2021])</w:t>
      </w:r>
      <w:r w:rsidR="00716A55" w:rsidRPr="008668D5">
        <w:rPr>
          <w:rFonts w:ascii="Arial" w:hAnsi="Arial" w:cs="Arial"/>
          <w:sz w:val="23"/>
          <w:szCs w:val="23"/>
        </w:rPr>
        <w:t>.</w:t>
      </w:r>
    </w:p>
    <w:p w14:paraId="4A5F39F5" w14:textId="7E77DE49" w:rsidR="00716A55" w:rsidRPr="008668D5" w:rsidRDefault="00D77FFE" w:rsidP="00EE168F">
      <w:pPr>
        <w:pStyle w:val="-HTML"/>
        <w:spacing w:before="240" w:after="240" w:line="360" w:lineRule="auto"/>
        <w:ind w:right="142" w:firstLine="284"/>
        <w:jc w:val="both"/>
        <w:rPr>
          <w:rFonts w:ascii="Arial" w:hAnsi="Arial" w:cs="Arial"/>
          <w:bCs/>
          <w:sz w:val="23"/>
          <w:szCs w:val="23"/>
        </w:rPr>
      </w:pPr>
      <w:r w:rsidRPr="00D77FFE">
        <w:rPr>
          <w:rFonts w:ascii="Arial" w:eastAsiaTheme="minorHAnsi" w:hAnsi="Arial" w:cs="Arial"/>
          <w:b/>
          <w:bCs/>
          <w:sz w:val="23"/>
          <w:szCs w:val="23"/>
          <w:lang w:eastAsia="en-US"/>
        </w:rPr>
        <w:t xml:space="preserve">3) </w:t>
      </w:r>
      <w:r>
        <w:rPr>
          <w:rFonts w:ascii="Arial" w:eastAsiaTheme="minorHAnsi" w:hAnsi="Arial" w:cs="Arial"/>
          <w:sz w:val="23"/>
          <w:szCs w:val="23"/>
          <w:lang w:eastAsia="en-US"/>
        </w:rPr>
        <w:t xml:space="preserve">Θα </w:t>
      </w:r>
      <w:r w:rsidR="0000188F">
        <w:rPr>
          <w:rFonts w:ascii="Arial" w:eastAsiaTheme="minorHAnsi" w:hAnsi="Arial" w:cs="Arial"/>
          <w:sz w:val="23"/>
          <w:szCs w:val="23"/>
          <w:lang w:eastAsia="en-US"/>
        </w:rPr>
        <w:t>πραγματοποιεί</w:t>
      </w:r>
      <w:r>
        <w:rPr>
          <w:rFonts w:ascii="Arial" w:eastAsiaTheme="minorHAnsi" w:hAnsi="Arial" w:cs="Arial"/>
          <w:sz w:val="23"/>
          <w:szCs w:val="23"/>
          <w:lang w:eastAsia="en-US"/>
        </w:rPr>
        <w:t xml:space="preserve">ται κανονικά η </w:t>
      </w:r>
      <w:r w:rsidR="00716A55" w:rsidRPr="008668D5">
        <w:rPr>
          <w:rFonts w:ascii="Arial" w:eastAsiaTheme="minorHAnsi" w:hAnsi="Arial" w:cs="Arial"/>
          <w:bCs/>
          <w:sz w:val="23"/>
          <w:szCs w:val="23"/>
          <w:lang w:eastAsia="en-US"/>
        </w:rPr>
        <w:t>δ</w:t>
      </w:r>
      <w:r w:rsidR="00716A55" w:rsidRPr="008668D5">
        <w:rPr>
          <w:rFonts w:ascii="Arial" w:hAnsi="Arial" w:cs="Arial"/>
          <w:bCs/>
          <w:sz w:val="23"/>
          <w:szCs w:val="23"/>
        </w:rPr>
        <w:t xml:space="preserve">ημοσίευση αποφάσεων, πράξεων, διατάξεων και διαταγών. </w:t>
      </w:r>
    </w:p>
    <w:p w14:paraId="69098C7C" w14:textId="0CBB9D67" w:rsidR="009F6BB1" w:rsidRPr="008668D5" w:rsidRDefault="000135BE" w:rsidP="00EE168F">
      <w:pPr>
        <w:pStyle w:val="-HTML"/>
        <w:tabs>
          <w:tab w:val="clear" w:pos="916"/>
          <w:tab w:val="clear" w:pos="1832"/>
          <w:tab w:val="clear" w:pos="2748"/>
          <w:tab w:val="left" w:pos="0"/>
          <w:tab w:val="left" w:pos="284"/>
        </w:tabs>
        <w:spacing w:before="240" w:after="240" w:line="360" w:lineRule="auto"/>
        <w:ind w:right="140" w:firstLine="284"/>
        <w:jc w:val="both"/>
        <w:rPr>
          <w:rFonts w:ascii="Arial" w:hAnsi="Arial" w:cs="Arial"/>
          <w:sz w:val="23"/>
          <w:szCs w:val="23"/>
        </w:rPr>
      </w:pPr>
      <w:r>
        <w:rPr>
          <w:rFonts w:ascii="Arial" w:hAnsi="Arial" w:cs="Arial"/>
          <w:b/>
          <w:bCs/>
          <w:sz w:val="23"/>
          <w:szCs w:val="23"/>
        </w:rPr>
        <w:t>4</w:t>
      </w:r>
      <w:r w:rsidR="00490448" w:rsidRPr="008668D5">
        <w:rPr>
          <w:rFonts w:ascii="Arial" w:hAnsi="Arial" w:cs="Arial"/>
          <w:b/>
          <w:bCs/>
          <w:sz w:val="23"/>
          <w:szCs w:val="23"/>
        </w:rPr>
        <w:t>)</w:t>
      </w:r>
      <w:r w:rsidR="00490448" w:rsidRPr="008668D5">
        <w:rPr>
          <w:rFonts w:ascii="Arial" w:hAnsi="Arial" w:cs="Arial"/>
          <w:bCs/>
          <w:sz w:val="23"/>
          <w:szCs w:val="23"/>
        </w:rPr>
        <w:t xml:space="preserve"> </w:t>
      </w:r>
      <w:r w:rsidR="0000188F">
        <w:rPr>
          <w:rFonts w:ascii="Arial" w:hAnsi="Arial" w:cs="Arial"/>
          <w:b/>
          <w:bCs/>
          <w:sz w:val="23"/>
          <w:szCs w:val="23"/>
          <w:u w:val="single"/>
        </w:rPr>
        <w:t>Θα διεξάγοντα</w:t>
      </w:r>
      <w:r w:rsidR="00490448" w:rsidRPr="000B1A30">
        <w:rPr>
          <w:rFonts w:ascii="Arial" w:hAnsi="Arial" w:cs="Arial"/>
          <w:b/>
          <w:bCs/>
          <w:sz w:val="23"/>
          <w:szCs w:val="23"/>
          <w:u w:val="single"/>
        </w:rPr>
        <w:t>ι</w:t>
      </w:r>
      <w:r w:rsidR="0000188F">
        <w:rPr>
          <w:rFonts w:ascii="Arial" w:hAnsi="Arial" w:cs="Arial"/>
          <w:b/>
          <w:bCs/>
          <w:sz w:val="23"/>
          <w:szCs w:val="23"/>
          <w:u w:val="single"/>
        </w:rPr>
        <w:t xml:space="preserve"> κανονικά</w:t>
      </w:r>
      <w:r w:rsidR="00490448" w:rsidRPr="008668D5">
        <w:rPr>
          <w:rFonts w:ascii="Arial" w:hAnsi="Arial" w:cs="Arial"/>
          <w:sz w:val="23"/>
          <w:szCs w:val="23"/>
        </w:rPr>
        <w:t>:</w:t>
      </w:r>
    </w:p>
    <w:p w14:paraId="2E5F58C0" w14:textId="4CADEDF5" w:rsidR="009F6BB1" w:rsidRPr="00B57C5D" w:rsidRDefault="00490448" w:rsidP="00EE168F">
      <w:pPr>
        <w:pStyle w:val="a4"/>
        <w:tabs>
          <w:tab w:val="left" w:pos="0"/>
          <w:tab w:val="left" w:pos="284"/>
          <w:tab w:val="left" w:pos="567"/>
        </w:tabs>
        <w:spacing w:before="240" w:after="24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B57C5D">
        <w:rPr>
          <w:rFonts w:ascii="Arial" w:hAnsi="Arial" w:cs="Arial"/>
          <w:sz w:val="23"/>
          <w:szCs w:val="23"/>
          <w:u w:val="single"/>
        </w:rPr>
        <w:t xml:space="preserve">Επισημαίνεται ότι, αποκλειστικά και μόνο </w:t>
      </w:r>
      <w:r w:rsidR="0029165B" w:rsidRPr="00B57C5D">
        <w:rPr>
          <w:rFonts w:ascii="Arial" w:hAnsi="Arial" w:cs="Arial"/>
          <w:sz w:val="23"/>
          <w:szCs w:val="23"/>
          <w:u w:val="single"/>
        </w:rPr>
        <w:t>όσον αφορά σ</w:t>
      </w:r>
      <w:r w:rsidR="00F148E0" w:rsidRPr="00B57C5D">
        <w:rPr>
          <w:rFonts w:ascii="Arial" w:hAnsi="Arial" w:cs="Arial"/>
          <w:sz w:val="23"/>
          <w:szCs w:val="23"/>
          <w:u w:val="single"/>
        </w:rPr>
        <w:t>την κατάθεση προτάσεων και προσθήκης/ αντίκρουσης, κατά τ</w:t>
      </w:r>
      <w:r w:rsidR="004F7C22" w:rsidRPr="00B57C5D">
        <w:rPr>
          <w:rFonts w:ascii="Arial" w:hAnsi="Arial" w:cs="Arial"/>
          <w:sz w:val="23"/>
          <w:szCs w:val="23"/>
          <w:u w:val="single"/>
        </w:rPr>
        <w:t>α</w:t>
      </w:r>
      <w:r w:rsidR="00F148E0" w:rsidRPr="00B57C5D">
        <w:rPr>
          <w:rFonts w:ascii="Arial" w:hAnsi="Arial" w:cs="Arial"/>
          <w:sz w:val="23"/>
          <w:szCs w:val="23"/>
          <w:u w:val="single"/>
        </w:rPr>
        <w:t xml:space="preserve"> άρθρ</w:t>
      </w:r>
      <w:r w:rsidR="004F7C22" w:rsidRPr="00B57C5D">
        <w:rPr>
          <w:rFonts w:ascii="Arial" w:hAnsi="Arial" w:cs="Arial"/>
          <w:sz w:val="23"/>
          <w:szCs w:val="23"/>
          <w:u w:val="single"/>
        </w:rPr>
        <w:t>α 4Η</w:t>
      </w:r>
      <w:r w:rsidR="004F7C22" w:rsidRPr="00B57C5D">
        <w:rPr>
          <w:rFonts w:ascii="Arial" w:hAnsi="Arial" w:cs="Arial"/>
          <w:sz w:val="23"/>
          <w:szCs w:val="23"/>
          <w:u w:val="single"/>
          <w:vertAlign w:val="superscript"/>
        </w:rPr>
        <w:t xml:space="preserve"> </w:t>
      </w:r>
      <w:r w:rsidR="004F7C22" w:rsidRPr="00B57C5D">
        <w:rPr>
          <w:rFonts w:ascii="Arial" w:hAnsi="Arial" w:cs="Arial"/>
          <w:sz w:val="23"/>
          <w:szCs w:val="23"/>
          <w:u w:val="single"/>
        </w:rPr>
        <w:t>και 4Θ του Ν. 3869/2010</w:t>
      </w:r>
      <w:r w:rsidR="0029165B" w:rsidRPr="00B57C5D">
        <w:rPr>
          <w:rFonts w:ascii="Arial" w:hAnsi="Arial" w:cs="Arial"/>
          <w:sz w:val="23"/>
          <w:szCs w:val="23"/>
          <w:u w:val="single"/>
        </w:rPr>
        <w:t xml:space="preserve"> (υποθέσεις ρύθμισης οφειλών υπερχρεωμένων φυσικών προσώπων)</w:t>
      </w:r>
      <w:r w:rsidR="00D110F4" w:rsidRPr="00B57C5D">
        <w:rPr>
          <w:rFonts w:ascii="Arial" w:hAnsi="Arial" w:cs="Arial"/>
          <w:sz w:val="23"/>
          <w:szCs w:val="23"/>
          <w:u w:val="single"/>
        </w:rPr>
        <w:t xml:space="preserve">, έκαστος πληρεξούσιος Δικηγόρος  θα δύναται </w:t>
      </w:r>
      <w:r w:rsidR="00D110F4" w:rsidRPr="00B57C5D">
        <w:rPr>
          <w:rFonts w:ascii="Arial" w:hAnsi="Arial" w:cs="Arial"/>
          <w:sz w:val="23"/>
          <w:szCs w:val="23"/>
          <w:u w:val="single"/>
        </w:rPr>
        <w:lastRenderedPageBreak/>
        <w:t>να καταθέτει έως πέντε (5) δικόγραφα (προτάσεις και προσθήκη/ αντίκρουση</w:t>
      </w:r>
      <w:r w:rsidR="00CB2A30" w:rsidRPr="00B57C5D">
        <w:rPr>
          <w:rFonts w:ascii="Arial" w:hAnsi="Arial" w:cs="Arial"/>
          <w:sz w:val="23"/>
          <w:szCs w:val="23"/>
          <w:u w:val="single"/>
        </w:rPr>
        <w:t xml:space="preserve"> μετά των σχετικών εγγράφων</w:t>
      </w:r>
      <w:r w:rsidR="00D110F4" w:rsidRPr="00B57C5D">
        <w:rPr>
          <w:rFonts w:ascii="Arial" w:hAnsi="Arial" w:cs="Arial"/>
          <w:sz w:val="23"/>
          <w:szCs w:val="23"/>
          <w:u w:val="single"/>
        </w:rPr>
        <w:t>)</w:t>
      </w:r>
      <w:r w:rsidR="00F148E0" w:rsidRPr="00B57C5D">
        <w:rPr>
          <w:rFonts w:ascii="Arial" w:hAnsi="Arial" w:cs="Arial"/>
          <w:sz w:val="23"/>
          <w:szCs w:val="23"/>
          <w:u w:val="single"/>
        </w:rPr>
        <w:t xml:space="preserve"> </w:t>
      </w:r>
      <w:r w:rsidR="00D110F4" w:rsidRPr="00B57C5D">
        <w:rPr>
          <w:rFonts w:ascii="Arial" w:hAnsi="Arial" w:cs="Arial"/>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Η κατάθεση αιτήσεων διαταγών πληρωμής, απόδοσης μισθίου, κληρονομητηρίων,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E168F">
      <w:pPr>
        <w:tabs>
          <w:tab w:val="left" w:pos="0"/>
          <w:tab w:val="left" w:pos="567"/>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5BD4E787" w14:textId="12966C6E" w:rsidR="00B57C5D" w:rsidRDefault="00490448"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στ) </w:t>
      </w:r>
      <w:r w:rsidR="00B57C5D"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4B9D6138" w14:textId="77777777" w:rsidR="00B57C5D" w:rsidRDefault="00B57C5D" w:rsidP="00EE168F">
      <w:pPr>
        <w:tabs>
          <w:tab w:val="left" w:pos="0"/>
        </w:tabs>
        <w:spacing w:before="240" w:after="240" w:line="360" w:lineRule="auto"/>
        <w:ind w:firstLine="284"/>
        <w:jc w:val="both"/>
        <w:rPr>
          <w:rFonts w:ascii="Arial" w:hAnsi="Arial" w:cs="Arial"/>
          <w:sz w:val="23"/>
          <w:szCs w:val="23"/>
        </w:rPr>
      </w:pPr>
      <w:r>
        <w:rPr>
          <w:rFonts w:ascii="Arial" w:hAnsi="Arial" w:cs="Arial"/>
          <w:sz w:val="23"/>
          <w:szCs w:val="23"/>
        </w:rPr>
        <w:t xml:space="preserve">ζ) Η </w:t>
      </w:r>
      <w:r w:rsidRPr="00CB2A30">
        <w:rPr>
          <w:rFonts w:ascii="Arial" w:hAnsi="Arial" w:cs="Arial"/>
          <w:sz w:val="23"/>
          <w:szCs w:val="23"/>
          <w:u w:val="single"/>
        </w:rPr>
        <w:t>κατάθεση προγραμμάτων πλειστηριασμού</w:t>
      </w:r>
      <w:r>
        <w:rPr>
          <w:rFonts w:ascii="Arial" w:hAnsi="Arial" w:cs="Arial"/>
          <w:sz w:val="23"/>
          <w:szCs w:val="23"/>
        </w:rPr>
        <w:t xml:space="preserve"> </w:t>
      </w:r>
    </w:p>
    <w:p w14:paraId="21C356DA" w14:textId="3A2B4CC7" w:rsidR="009F6BB1" w:rsidRPr="008668D5" w:rsidRDefault="00B57C5D" w:rsidP="00EE168F">
      <w:pPr>
        <w:tabs>
          <w:tab w:val="left" w:pos="0"/>
        </w:tabs>
        <w:spacing w:before="240" w:after="240" w:line="360" w:lineRule="auto"/>
        <w:ind w:firstLine="284"/>
        <w:jc w:val="both"/>
        <w:rPr>
          <w:rFonts w:ascii="Arial" w:hAnsi="Arial" w:cs="Arial"/>
          <w:sz w:val="23"/>
          <w:szCs w:val="23"/>
        </w:rPr>
      </w:pPr>
      <w:r>
        <w:rPr>
          <w:rFonts w:ascii="Arial" w:hAnsi="Arial" w:cs="Arial"/>
          <w:sz w:val="23"/>
          <w:szCs w:val="23"/>
        </w:rPr>
        <w:t xml:space="preserve">η) </w:t>
      </w:r>
      <w:r w:rsidR="00490448" w:rsidRPr="008668D5">
        <w:rPr>
          <w:rFonts w:ascii="Arial" w:hAnsi="Arial" w:cs="Arial"/>
          <w:sz w:val="23"/>
          <w:szCs w:val="23"/>
        </w:rPr>
        <w:t xml:space="preserve">Καταθέσεις </w:t>
      </w:r>
      <w:r w:rsidR="00490448" w:rsidRPr="00CB2A30">
        <w:rPr>
          <w:rFonts w:ascii="Arial" w:hAnsi="Arial" w:cs="Arial"/>
          <w:sz w:val="23"/>
          <w:szCs w:val="23"/>
          <w:u w:val="single"/>
        </w:rPr>
        <w:t>δηλώσεων τρίτου</w:t>
      </w:r>
      <w:r w:rsidR="00490448" w:rsidRPr="008668D5">
        <w:rPr>
          <w:rFonts w:ascii="Arial" w:hAnsi="Arial" w:cs="Arial"/>
          <w:sz w:val="23"/>
          <w:szCs w:val="23"/>
        </w:rPr>
        <w:t>.</w:t>
      </w:r>
    </w:p>
    <w:p w14:paraId="5DE7A4FD" w14:textId="34A15B15" w:rsidR="009F6BB1" w:rsidRPr="008668D5" w:rsidRDefault="00B57C5D" w:rsidP="00EE168F">
      <w:pPr>
        <w:tabs>
          <w:tab w:val="left" w:pos="0"/>
          <w:tab w:val="left" w:pos="567"/>
        </w:tabs>
        <w:spacing w:before="240" w:after="240" w:line="360" w:lineRule="auto"/>
        <w:ind w:firstLine="284"/>
        <w:jc w:val="both"/>
        <w:rPr>
          <w:rFonts w:ascii="Arial" w:hAnsi="Arial" w:cs="Arial"/>
          <w:sz w:val="23"/>
          <w:szCs w:val="23"/>
        </w:rPr>
      </w:pPr>
      <w:r>
        <w:rPr>
          <w:rFonts w:ascii="Arial" w:hAnsi="Arial" w:cs="Arial"/>
          <w:sz w:val="23"/>
          <w:szCs w:val="23"/>
        </w:rPr>
        <w:t>θ</w:t>
      </w:r>
      <w:r w:rsidR="00490448" w:rsidRPr="008668D5">
        <w:rPr>
          <w:rFonts w:ascii="Arial" w:hAnsi="Arial" w:cs="Arial"/>
          <w:sz w:val="23"/>
          <w:szCs w:val="23"/>
        </w:rPr>
        <w:t xml:space="preserve">) Η διενέργεια </w:t>
      </w:r>
      <w:r w:rsidR="00490448" w:rsidRPr="00CB2A30">
        <w:rPr>
          <w:rFonts w:ascii="Arial" w:hAnsi="Arial" w:cs="Arial"/>
          <w:sz w:val="23"/>
          <w:szCs w:val="23"/>
          <w:u w:val="single"/>
        </w:rPr>
        <w:t>αποποιήσεων κληρονομίας</w:t>
      </w:r>
      <w:r>
        <w:rPr>
          <w:rFonts w:ascii="Arial" w:hAnsi="Arial" w:cs="Arial"/>
          <w:sz w:val="23"/>
          <w:szCs w:val="23"/>
        </w:rPr>
        <w:t xml:space="preserve"> και</w:t>
      </w:r>
    </w:p>
    <w:p w14:paraId="57BCB5D4" w14:textId="06B55513" w:rsidR="00D52504" w:rsidRDefault="00D52504" w:rsidP="00EE168F">
      <w:pPr>
        <w:tabs>
          <w:tab w:val="left" w:pos="0"/>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ι)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70C7686D" w:rsidR="004A2BA8" w:rsidRDefault="00490448" w:rsidP="00EE168F">
      <w:pPr>
        <w:tabs>
          <w:tab w:val="left" w:pos="284"/>
          <w:tab w:val="left" w:pos="567"/>
        </w:tabs>
        <w:spacing w:before="240" w:after="240" w:line="360" w:lineRule="auto"/>
        <w:ind w:firstLine="284"/>
        <w:jc w:val="both"/>
        <w:rPr>
          <w:rFonts w:ascii="Arial" w:hAnsi="Arial" w:cs="Arial"/>
          <w:b/>
          <w:bCs/>
          <w:sz w:val="23"/>
          <w:szCs w:val="23"/>
        </w:rPr>
      </w:pPr>
      <w:r w:rsidRPr="008668D5">
        <w:rPr>
          <w:rFonts w:ascii="Arial" w:hAnsi="Arial" w:cs="Arial"/>
          <w:sz w:val="23"/>
          <w:szCs w:val="23"/>
        </w:rPr>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A0573">
        <w:rPr>
          <w:rFonts w:ascii="Arial" w:hAnsi="Arial" w:cs="Arial"/>
          <w:b/>
          <w:bCs/>
          <w:sz w:val="23"/>
          <w:szCs w:val="23"/>
          <w:u w:val="single"/>
        </w:rPr>
        <w:t>2</w:t>
      </w:r>
      <w:r w:rsidRPr="00190C5C">
        <w:rPr>
          <w:rFonts w:ascii="Arial" w:hAnsi="Arial" w:cs="Arial"/>
          <w:b/>
          <w:bCs/>
          <w:sz w:val="23"/>
          <w:szCs w:val="23"/>
          <w:u w:val="single"/>
        </w:rPr>
        <w:t xml:space="preserve">  α’ έως και </w:t>
      </w:r>
      <w:r w:rsidR="00B57C5D">
        <w:rPr>
          <w:rFonts w:ascii="Arial" w:hAnsi="Arial" w:cs="Arial"/>
          <w:b/>
          <w:bCs/>
          <w:sz w:val="23"/>
          <w:szCs w:val="23"/>
          <w:u w:val="single"/>
        </w:rPr>
        <w:t>ζ</w:t>
      </w:r>
      <w:r w:rsidRPr="00190C5C">
        <w:rPr>
          <w:rFonts w:ascii="Arial" w:hAnsi="Arial" w:cs="Arial"/>
          <w:b/>
          <w:bCs/>
          <w:sz w:val="23"/>
          <w:szCs w:val="23"/>
          <w:u w:val="single"/>
        </w:rPr>
        <w:t xml:space="preserve">’ ενέργειες, θα πραγματοποιούνται </w:t>
      </w:r>
      <w:r w:rsidR="00B57C5D">
        <w:rPr>
          <w:rFonts w:ascii="Arial" w:hAnsi="Arial" w:cs="Arial"/>
          <w:b/>
          <w:bCs/>
          <w:sz w:val="23"/>
          <w:szCs w:val="23"/>
          <w:u w:val="single"/>
        </w:rPr>
        <w:t xml:space="preserve">αποκλειστικά και μόνο κατόπιν προηγούμενης τηλεφωνικής συνεννόησης (ραντεβού) με τη Γραμματεία </w:t>
      </w:r>
      <w:r w:rsidRPr="000B1A30">
        <w:rPr>
          <w:rFonts w:ascii="Arial" w:hAnsi="Arial" w:cs="Arial"/>
          <w:sz w:val="23"/>
          <w:szCs w:val="23"/>
          <w:u w:val="single"/>
        </w:rPr>
        <w:t>του Δικαστηρίου στα τηλ. 22950-52633 και 22950-54133.</w:t>
      </w:r>
      <w:r w:rsidRPr="008E3735">
        <w:rPr>
          <w:rFonts w:ascii="Arial" w:hAnsi="Arial" w:cs="Arial"/>
          <w:b/>
          <w:bCs/>
          <w:sz w:val="23"/>
          <w:szCs w:val="23"/>
        </w:rPr>
        <w:t xml:space="preserve"> </w:t>
      </w:r>
    </w:p>
    <w:p w14:paraId="5A186630" w14:textId="551CC542" w:rsidR="009F6BB1" w:rsidRPr="008668D5" w:rsidRDefault="00EE168F" w:rsidP="00EE168F">
      <w:pPr>
        <w:tabs>
          <w:tab w:val="left" w:pos="567"/>
        </w:tabs>
        <w:spacing w:before="240" w:after="240" w:line="360" w:lineRule="auto"/>
        <w:ind w:firstLine="284"/>
        <w:jc w:val="both"/>
        <w:rPr>
          <w:rFonts w:ascii="Arial" w:hAnsi="Arial" w:cs="Arial"/>
          <w:bCs/>
          <w:sz w:val="23"/>
          <w:szCs w:val="23"/>
        </w:rPr>
      </w:pPr>
      <w:r>
        <w:rPr>
          <w:rFonts w:ascii="Arial" w:hAnsi="Arial" w:cs="Arial"/>
          <w:b/>
          <w:bCs/>
          <w:sz w:val="23"/>
          <w:szCs w:val="23"/>
        </w:rPr>
        <w:t>5</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44F91028" w14:textId="77777777" w:rsidR="009F6BB1" w:rsidRPr="008668D5" w:rsidRDefault="00490448" w:rsidP="00EE168F">
      <w:pPr>
        <w:tabs>
          <w:tab w:val="left" w:pos="567"/>
        </w:tabs>
        <w:spacing w:before="240" w:after="24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67BFA3C4" w:rsidR="009F6BB1" w:rsidRPr="008668D5" w:rsidRDefault="005B2887" w:rsidP="00EE168F">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284"/>
        <w:jc w:val="both"/>
        <w:rPr>
          <w:rFonts w:ascii="Arial" w:hAnsi="Arial" w:cs="Arial"/>
          <w:sz w:val="23"/>
          <w:szCs w:val="23"/>
        </w:rPr>
      </w:pPr>
      <w:r>
        <w:rPr>
          <w:rFonts w:ascii="Arial" w:hAnsi="Arial" w:cs="Arial"/>
          <w:b/>
          <w:bCs/>
          <w:iCs/>
          <w:sz w:val="23"/>
          <w:szCs w:val="23"/>
        </w:rPr>
        <w:t>1</w:t>
      </w:r>
      <w:r w:rsidR="00490448" w:rsidRPr="008668D5">
        <w:rPr>
          <w:rFonts w:ascii="Arial" w:hAnsi="Arial" w:cs="Arial"/>
          <w:b/>
          <w:bCs/>
          <w:iCs/>
          <w:sz w:val="23"/>
          <w:szCs w:val="23"/>
        </w:rPr>
        <w:t>)</w:t>
      </w:r>
      <w:r w:rsidR="00490448" w:rsidRPr="008668D5">
        <w:rPr>
          <w:rFonts w:ascii="Arial" w:hAnsi="Arial" w:cs="Arial"/>
          <w:bCs/>
          <w:iCs/>
          <w:sz w:val="23"/>
          <w:szCs w:val="23"/>
        </w:rPr>
        <w:t xml:space="preserve"> </w:t>
      </w:r>
      <w:r w:rsidR="00490448" w:rsidRPr="00224B4C">
        <w:rPr>
          <w:rFonts w:ascii="Arial" w:hAnsi="Arial" w:cs="Arial"/>
          <w:b/>
          <w:iCs/>
          <w:sz w:val="23"/>
          <w:szCs w:val="23"/>
          <w:u w:val="single"/>
        </w:rPr>
        <w:t>Υποχρεωτική χρήση (μη ιατρικής) μάσκας</w:t>
      </w:r>
      <w:r w:rsidR="00490448" w:rsidRPr="008668D5">
        <w:rPr>
          <w:rFonts w:ascii="Arial" w:hAnsi="Arial" w:cs="Arial"/>
          <w:bCs/>
          <w:iCs/>
          <w:sz w:val="23"/>
          <w:szCs w:val="23"/>
        </w:rPr>
        <w:t xml:space="preserve"> </w:t>
      </w:r>
      <w:r w:rsidR="00490448" w:rsidRPr="008668D5">
        <w:rPr>
          <w:rFonts w:ascii="Arial" w:eastAsia="Times New Roman" w:hAnsi="Arial" w:cs="Arial"/>
          <w:bCs/>
          <w:iCs/>
          <w:sz w:val="23"/>
          <w:szCs w:val="23"/>
        </w:rPr>
        <w:t xml:space="preserve">από τους δικαστές, γραμματείς, συνηγόρους, διαδίκους και λοιπούς παρισταμένους εντός και εκτός των χώρων του </w:t>
      </w:r>
      <w:r w:rsidR="00490448" w:rsidRPr="008668D5">
        <w:rPr>
          <w:rFonts w:ascii="Arial" w:eastAsia="Times New Roman" w:hAnsi="Arial" w:cs="Arial"/>
          <w:bCs/>
          <w:iCs/>
          <w:sz w:val="23"/>
          <w:szCs w:val="23"/>
        </w:rPr>
        <w:lastRenderedPageBreak/>
        <w:t>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4EAB8502" w:rsidR="009F6BB1" w:rsidRPr="008668D5" w:rsidRDefault="005B2887" w:rsidP="00EE168F">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284"/>
        <w:jc w:val="both"/>
        <w:rPr>
          <w:rFonts w:ascii="Arial" w:hAnsi="Arial" w:cs="Arial"/>
          <w:bCs/>
          <w:iCs/>
          <w:sz w:val="23"/>
          <w:szCs w:val="23"/>
        </w:rPr>
      </w:pPr>
      <w:r>
        <w:rPr>
          <w:rFonts w:ascii="Arial" w:eastAsia="Times New Roman" w:hAnsi="Arial" w:cs="Arial"/>
          <w:b/>
          <w:bCs/>
          <w:iCs/>
          <w:sz w:val="23"/>
          <w:szCs w:val="23"/>
        </w:rPr>
        <w:t>2</w:t>
      </w:r>
      <w:r w:rsidR="00490448" w:rsidRPr="008668D5">
        <w:rPr>
          <w:rFonts w:ascii="Arial" w:eastAsia="Times New Roman" w:hAnsi="Arial" w:cs="Arial"/>
          <w:b/>
          <w:bCs/>
          <w:iCs/>
          <w:sz w:val="23"/>
          <w:szCs w:val="23"/>
        </w:rPr>
        <w:t>)</w:t>
      </w:r>
      <w:r w:rsidR="00490448" w:rsidRPr="008668D5">
        <w:rPr>
          <w:rFonts w:ascii="Arial" w:eastAsia="Times New Roman" w:hAnsi="Arial" w:cs="Arial"/>
          <w:bCs/>
          <w:iCs/>
          <w:sz w:val="23"/>
          <w:szCs w:val="23"/>
        </w:rPr>
        <w:t xml:space="preserve"> </w:t>
      </w:r>
      <w:r w:rsidR="00490448" w:rsidRPr="008668D5">
        <w:rPr>
          <w:rFonts w:ascii="Arial" w:hAnsi="Arial" w:cs="Arial"/>
          <w:iCs/>
          <w:sz w:val="23"/>
          <w:szCs w:val="23"/>
        </w:rPr>
        <w:t xml:space="preserve">Απαραίτητη η </w:t>
      </w:r>
      <w:r w:rsidR="00490448" w:rsidRPr="00224B4C">
        <w:rPr>
          <w:rFonts w:ascii="Arial" w:hAnsi="Arial" w:cs="Arial"/>
          <w:b/>
          <w:bCs/>
          <w:iCs/>
          <w:sz w:val="23"/>
          <w:szCs w:val="23"/>
          <w:u w:val="single"/>
        </w:rPr>
        <w:t>χρήση αντισηπτικού διαλύματος</w:t>
      </w:r>
      <w:r w:rsidR="00490448" w:rsidRPr="008668D5">
        <w:rPr>
          <w:rFonts w:ascii="Arial" w:hAnsi="Arial" w:cs="Arial"/>
          <w:iCs/>
          <w:sz w:val="23"/>
          <w:szCs w:val="23"/>
        </w:rPr>
        <w:t xml:space="preserve"> </w:t>
      </w:r>
      <w:r w:rsidR="00490448"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EE168F">
      <w:pPr>
        <w:spacing w:before="240" w:after="24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EE168F">
      <w:pPr>
        <w:spacing w:before="240" w:after="24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Ανώτατο όριο παρευρισκομένων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EE168F">
      <w:pPr>
        <w:tabs>
          <w:tab w:val="left" w:pos="567"/>
        </w:tabs>
        <w:spacing w:before="240" w:after="24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5FD37464" w:rsidR="009F6BB1" w:rsidRPr="008668D5" w:rsidRDefault="00490448" w:rsidP="00C85E4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EE168F">
        <w:rPr>
          <w:rFonts w:ascii="Arial" w:hAnsi="Arial" w:cs="Arial"/>
          <w:sz w:val="23"/>
          <w:szCs w:val="23"/>
        </w:rPr>
        <w:t>21</w:t>
      </w:r>
      <w:r w:rsidR="003304D7" w:rsidRPr="00C24A52">
        <w:rPr>
          <w:rFonts w:ascii="Arial" w:hAnsi="Arial" w:cs="Arial"/>
          <w:sz w:val="23"/>
          <w:szCs w:val="23"/>
        </w:rPr>
        <w:t xml:space="preserve"> </w:t>
      </w:r>
      <w:r w:rsidR="003304D7">
        <w:rPr>
          <w:rFonts w:ascii="Arial" w:hAnsi="Arial" w:cs="Arial"/>
          <w:sz w:val="23"/>
          <w:szCs w:val="23"/>
        </w:rPr>
        <w:t>Ιουνίου</w:t>
      </w:r>
      <w:r w:rsidR="00233AB5">
        <w:rPr>
          <w:rFonts w:ascii="Arial" w:hAnsi="Arial" w:cs="Arial"/>
          <w:sz w:val="23"/>
          <w:szCs w:val="23"/>
        </w:rPr>
        <w:t xml:space="preserve"> </w:t>
      </w:r>
      <w:r w:rsidRPr="008668D5">
        <w:rPr>
          <w:rFonts w:ascii="Arial" w:hAnsi="Arial" w:cs="Arial"/>
          <w:sz w:val="23"/>
          <w:szCs w:val="23"/>
        </w:rPr>
        <w:t>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F4A3F" w14:textId="77777777" w:rsidR="004C11B0" w:rsidRDefault="004C11B0">
      <w:pPr>
        <w:spacing w:after="0" w:line="240" w:lineRule="auto"/>
      </w:pPr>
      <w:r>
        <w:separator/>
      </w:r>
    </w:p>
  </w:endnote>
  <w:endnote w:type="continuationSeparator" w:id="0">
    <w:p w14:paraId="3E1967D0" w14:textId="77777777" w:rsidR="004C11B0" w:rsidRDefault="004C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19EA2897" w:rsidR="009F6BB1" w:rsidRDefault="00490448">
        <w:pPr>
          <w:pStyle w:val="a6"/>
          <w:jc w:val="center"/>
        </w:pPr>
        <w:r>
          <w:fldChar w:fldCharType="begin"/>
        </w:r>
        <w:r>
          <w:instrText>PAGE</w:instrText>
        </w:r>
        <w:r>
          <w:fldChar w:fldCharType="separate"/>
        </w:r>
        <w:r w:rsidR="00551A1B">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6A4B" w14:textId="77777777" w:rsidR="004C11B0" w:rsidRDefault="004C11B0">
      <w:pPr>
        <w:spacing w:after="0" w:line="240" w:lineRule="auto"/>
      </w:pPr>
      <w:r>
        <w:separator/>
      </w:r>
    </w:p>
  </w:footnote>
  <w:footnote w:type="continuationSeparator" w:id="0">
    <w:p w14:paraId="4A58F1E3" w14:textId="77777777" w:rsidR="004C11B0" w:rsidRDefault="004C1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80A517C"/>
    <w:multiLevelType w:val="hybridMultilevel"/>
    <w:tmpl w:val="7E1ED394"/>
    <w:lvl w:ilvl="0" w:tplc="8648FB18">
      <w:start w:val="2"/>
      <w:numFmt w:val="decimal"/>
      <w:lvlText w:val="%1)"/>
      <w:lvlJc w:val="left"/>
      <w:pPr>
        <w:ind w:left="644" w:hanging="360"/>
      </w:pPr>
      <w:rPr>
        <w:rFonts w:hint="default"/>
        <w:b/>
        <w:u w:val="no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188F"/>
    <w:rsid w:val="00003683"/>
    <w:rsid w:val="00004692"/>
    <w:rsid w:val="000135BE"/>
    <w:rsid w:val="00020C52"/>
    <w:rsid w:val="000217E0"/>
    <w:rsid w:val="000253CC"/>
    <w:rsid w:val="000264F5"/>
    <w:rsid w:val="00040C2D"/>
    <w:rsid w:val="00087E2F"/>
    <w:rsid w:val="00092D5A"/>
    <w:rsid w:val="00093DED"/>
    <w:rsid w:val="000A5029"/>
    <w:rsid w:val="000A7801"/>
    <w:rsid w:val="000B1A30"/>
    <w:rsid w:val="000B79E1"/>
    <w:rsid w:val="000C7534"/>
    <w:rsid w:val="000C7D53"/>
    <w:rsid w:val="00110487"/>
    <w:rsid w:val="0011243A"/>
    <w:rsid w:val="00145949"/>
    <w:rsid w:val="00164644"/>
    <w:rsid w:val="00174521"/>
    <w:rsid w:val="00175AB8"/>
    <w:rsid w:val="00186DD1"/>
    <w:rsid w:val="00190C5C"/>
    <w:rsid w:val="001919E1"/>
    <w:rsid w:val="00197D69"/>
    <w:rsid w:val="001C0634"/>
    <w:rsid w:val="001C0795"/>
    <w:rsid w:val="001C42DE"/>
    <w:rsid w:val="001D5D72"/>
    <w:rsid w:val="001D674D"/>
    <w:rsid w:val="00204839"/>
    <w:rsid w:val="002110A0"/>
    <w:rsid w:val="00224B0A"/>
    <w:rsid w:val="00224B4C"/>
    <w:rsid w:val="002316FF"/>
    <w:rsid w:val="00233AB5"/>
    <w:rsid w:val="00290799"/>
    <w:rsid w:val="0029165B"/>
    <w:rsid w:val="002B07FA"/>
    <w:rsid w:val="002B3693"/>
    <w:rsid w:val="002D2778"/>
    <w:rsid w:val="002E380D"/>
    <w:rsid w:val="002E6C6A"/>
    <w:rsid w:val="003304D7"/>
    <w:rsid w:val="00334B4B"/>
    <w:rsid w:val="0035300B"/>
    <w:rsid w:val="003745C8"/>
    <w:rsid w:val="003B6E85"/>
    <w:rsid w:val="003B6F45"/>
    <w:rsid w:val="003C7E34"/>
    <w:rsid w:val="003E2D8C"/>
    <w:rsid w:val="0040373D"/>
    <w:rsid w:val="0040481F"/>
    <w:rsid w:val="004535AE"/>
    <w:rsid w:val="004546EF"/>
    <w:rsid w:val="00454EA0"/>
    <w:rsid w:val="00462CFA"/>
    <w:rsid w:val="00483126"/>
    <w:rsid w:val="004832A9"/>
    <w:rsid w:val="00486159"/>
    <w:rsid w:val="00490448"/>
    <w:rsid w:val="00491466"/>
    <w:rsid w:val="004925E6"/>
    <w:rsid w:val="00495860"/>
    <w:rsid w:val="004A0573"/>
    <w:rsid w:val="004A2BA8"/>
    <w:rsid w:val="004A379C"/>
    <w:rsid w:val="004B0F1D"/>
    <w:rsid w:val="004C11B0"/>
    <w:rsid w:val="004D0F1F"/>
    <w:rsid w:val="004D1BB5"/>
    <w:rsid w:val="004E3561"/>
    <w:rsid w:val="004F6C0B"/>
    <w:rsid w:val="004F7C22"/>
    <w:rsid w:val="005069BB"/>
    <w:rsid w:val="005306E4"/>
    <w:rsid w:val="00534971"/>
    <w:rsid w:val="0054266D"/>
    <w:rsid w:val="00543828"/>
    <w:rsid w:val="00544898"/>
    <w:rsid w:val="005449A6"/>
    <w:rsid w:val="00550EEF"/>
    <w:rsid w:val="00551A1B"/>
    <w:rsid w:val="00555E93"/>
    <w:rsid w:val="00556EA1"/>
    <w:rsid w:val="00560FA4"/>
    <w:rsid w:val="00577CA0"/>
    <w:rsid w:val="005B2887"/>
    <w:rsid w:val="005C1BF0"/>
    <w:rsid w:val="005D2F08"/>
    <w:rsid w:val="005D3FE8"/>
    <w:rsid w:val="005E58E6"/>
    <w:rsid w:val="006105F1"/>
    <w:rsid w:val="00621CA6"/>
    <w:rsid w:val="00637F2B"/>
    <w:rsid w:val="00665F8D"/>
    <w:rsid w:val="0066638B"/>
    <w:rsid w:val="00675A6C"/>
    <w:rsid w:val="00692DDC"/>
    <w:rsid w:val="00695E2E"/>
    <w:rsid w:val="006A6B24"/>
    <w:rsid w:val="006A79A5"/>
    <w:rsid w:val="006F2D61"/>
    <w:rsid w:val="00716A55"/>
    <w:rsid w:val="0072178D"/>
    <w:rsid w:val="00724606"/>
    <w:rsid w:val="00726BAC"/>
    <w:rsid w:val="00726DF3"/>
    <w:rsid w:val="00727D96"/>
    <w:rsid w:val="00732760"/>
    <w:rsid w:val="00740C64"/>
    <w:rsid w:val="0074189B"/>
    <w:rsid w:val="00762EA3"/>
    <w:rsid w:val="00764FCA"/>
    <w:rsid w:val="00771773"/>
    <w:rsid w:val="00771CD7"/>
    <w:rsid w:val="007C0AA5"/>
    <w:rsid w:val="007C222A"/>
    <w:rsid w:val="007D150F"/>
    <w:rsid w:val="007D6637"/>
    <w:rsid w:val="007E30FD"/>
    <w:rsid w:val="007F1230"/>
    <w:rsid w:val="0082269E"/>
    <w:rsid w:val="008406ED"/>
    <w:rsid w:val="00843A4D"/>
    <w:rsid w:val="00864BEB"/>
    <w:rsid w:val="008668D5"/>
    <w:rsid w:val="00870C43"/>
    <w:rsid w:val="00881C33"/>
    <w:rsid w:val="008969C6"/>
    <w:rsid w:val="008C3F76"/>
    <w:rsid w:val="008C44A2"/>
    <w:rsid w:val="008C758D"/>
    <w:rsid w:val="008E3735"/>
    <w:rsid w:val="009359AE"/>
    <w:rsid w:val="00967AEE"/>
    <w:rsid w:val="0097346C"/>
    <w:rsid w:val="009949DE"/>
    <w:rsid w:val="009A2ECF"/>
    <w:rsid w:val="009B2A94"/>
    <w:rsid w:val="009D1E7E"/>
    <w:rsid w:val="009D4DE0"/>
    <w:rsid w:val="009E4F90"/>
    <w:rsid w:val="009E612F"/>
    <w:rsid w:val="009E6458"/>
    <w:rsid w:val="009F6BB1"/>
    <w:rsid w:val="00A04CC9"/>
    <w:rsid w:val="00A450A7"/>
    <w:rsid w:val="00A52DE9"/>
    <w:rsid w:val="00A5416E"/>
    <w:rsid w:val="00A937A9"/>
    <w:rsid w:val="00AA0D82"/>
    <w:rsid w:val="00AA3B5E"/>
    <w:rsid w:val="00AB274C"/>
    <w:rsid w:val="00AC1F3B"/>
    <w:rsid w:val="00AD2E43"/>
    <w:rsid w:val="00AE361A"/>
    <w:rsid w:val="00AE4839"/>
    <w:rsid w:val="00AE6F3C"/>
    <w:rsid w:val="00AF64D0"/>
    <w:rsid w:val="00B36215"/>
    <w:rsid w:val="00B4214F"/>
    <w:rsid w:val="00B5725F"/>
    <w:rsid w:val="00B57C5D"/>
    <w:rsid w:val="00B708C9"/>
    <w:rsid w:val="00B81CCF"/>
    <w:rsid w:val="00BA1EA2"/>
    <w:rsid w:val="00C114FD"/>
    <w:rsid w:val="00C16B8B"/>
    <w:rsid w:val="00C21D74"/>
    <w:rsid w:val="00C24A52"/>
    <w:rsid w:val="00C356FD"/>
    <w:rsid w:val="00C50017"/>
    <w:rsid w:val="00C5040E"/>
    <w:rsid w:val="00C85E45"/>
    <w:rsid w:val="00CA6F8E"/>
    <w:rsid w:val="00CB2A30"/>
    <w:rsid w:val="00CD3F8A"/>
    <w:rsid w:val="00D110F4"/>
    <w:rsid w:val="00D1544D"/>
    <w:rsid w:val="00D21FD8"/>
    <w:rsid w:val="00D51E4A"/>
    <w:rsid w:val="00D52504"/>
    <w:rsid w:val="00D77FFE"/>
    <w:rsid w:val="00D835AB"/>
    <w:rsid w:val="00D9134F"/>
    <w:rsid w:val="00DA1CF7"/>
    <w:rsid w:val="00DA25B8"/>
    <w:rsid w:val="00DA4893"/>
    <w:rsid w:val="00DD219B"/>
    <w:rsid w:val="00DF2AB6"/>
    <w:rsid w:val="00E20A8A"/>
    <w:rsid w:val="00E27B89"/>
    <w:rsid w:val="00E31142"/>
    <w:rsid w:val="00E40CFB"/>
    <w:rsid w:val="00E44155"/>
    <w:rsid w:val="00E45386"/>
    <w:rsid w:val="00E45454"/>
    <w:rsid w:val="00E61A06"/>
    <w:rsid w:val="00E64C50"/>
    <w:rsid w:val="00E66A82"/>
    <w:rsid w:val="00E67D93"/>
    <w:rsid w:val="00E80112"/>
    <w:rsid w:val="00E826EC"/>
    <w:rsid w:val="00E84E1E"/>
    <w:rsid w:val="00E94C69"/>
    <w:rsid w:val="00EC0185"/>
    <w:rsid w:val="00EE168F"/>
    <w:rsid w:val="00EF7896"/>
    <w:rsid w:val="00F148E0"/>
    <w:rsid w:val="00F22D8B"/>
    <w:rsid w:val="00F233AF"/>
    <w:rsid w:val="00F37650"/>
    <w:rsid w:val="00F44F0D"/>
    <w:rsid w:val="00F605D4"/>
    <w:rsid w:val="00F76AE5"/>
    <w:rsid w:val="00F86912"/>
    <w:rsid w:val="00F90B0C"/>
    <w:rsid w:val="00F9217A"/>
    <w:rsid w:val="00F92D52"/>
    <w:rsid w:val="00FC1B10"/>
    <w:rsid w:val="00FF2E63"/>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5514</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cp:lastPrinted>2021-06-22T06:00:00Z</cp:lastPrinted>
  <dcterms:created xsi:type="dcterms:W3CDTF">2021-06-22T07:22:00Z</dcterms:created>
  <dcterms:modified xsi:type="dcterms:W3CDTF">2021-06-22T07:22:00Z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