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2C1" w:rsidRDefault="000C433A" w:rsidP="00EA7C52">
      <w:pPr>
        <w:spacing w:before="240" w:line="240" w:lineRule="auto"/>
        <w:jc w:val="center"/>
        <w:rPr>
          <w:rFonts w:ascii="Bookman Old Style" w:hAnsi="Bookman Old Style"/>
          <w:b/>
          <w:sz w:val="24"/>
          <w:szCs w:val="24"/>
        </w:rPr>
        <w:sectPr w:rsidR="002152C1">
          <w:footerReference w:type="default" r:id="rId8"/>
          <w:endnotePr>
            <w:numFmt w:val="chicago"/>
          </w:endnotePr>
          <w:pgSz w:w="11906" w:h="16838"/>
          <w:pgMar w:top="1440" w:right="1800" w:bottom="1440" w:left="1800" w:header="708" w:footer="708" w:gutter="0"/>
          <w:cols w:space="708"/>
          <w:docGrid w:linePitch="360"/>
        </w:sectPr>
      </w:pPr>
      <w:bookmarkStart w:id="0" w:name="_GoBack"/>
      <w:bookmarkEnd w:id="0"/>
      <w:r w:rsidRPr="000C433A">
        <w:rPr>
          <w:rFonts w:ascii="Bookman Old Style" w:hAnsi="Bookman Old Style"/>
          <w:b/>
          <w:sz w:val="24"/>
          <w:szCs w:val="24"/>
        </w:rPr>
        <w:t>ΜΙΑ</w:t>
      </w:r>
      <w:r w:rsidR="00EA7C52">
        <w:rPr>
          <w:rFonts w:ascii="Bookman Old Style" w:hAnsi="Bookman Old Style"/>
          <w:b/>
          <w:sz w:val="24"/>
          <w:szCs w:val="24"/>
        </w:rPr>
        <w:t xml:space="preserve"> ΕΜΜΕΣΗ ΠΛΗΝ </w:t>
      </w:r>
      <w:r w:rsidRPr="000C433A">
        <w:rPr>
          <w:rFonts w:ascii="Bookman Old Style" w:hAnsi="Bookman Old Style"/>
          <w:b/>
          <w:sz w:val="24"/>
          <w:szCs w:val="24"/>
        </w:rPr>
        <w:t>ΣΑΦΗΣ ΑΜΦΙΣΒΗΤΗΣΗ ΤΗΣ ΥΠΕΡΟΧΗΣ ΤΟΥ ΕΥΡΩΠΑΙΚΟΥ ΕΝΑΝΤΙ ΤΟΥ ΕΘΝΙΚΟΥ ΔΙΚΑΙΟΥ</w:t>
      </w:r>
      <w:r w:rsidR="00EA7C52">
        <w:rPr>
          <w:rFonts w:ascii="Bookman Old Style" w:hAnsi="Bookman Old Style"/>
          <w:b/>
          <w:sz w:val="24"/>
          <w:szCs w:val="24"/>
        </w:rPr>
        <w:t xml:space="preserve"> ΑΠΟ ΤΗΝ ΝΟΜΟΛΟΓΙΑ ΤΟΥ ΟΜΟΣΠΟΝΔΙΑΚΟΥ ΣΥΝΤΑΓΜΑΤΙΚΟΥ ΔΙΚΑΣΤΗΡΙΟΥ ΤΗΣ ΓΕΡΜΑΝΙΑΣ</w:t>
      </w:r>
      <w:r w:rsidR="005012DD" w:rsidRPr="005012DD">
        <w:rPr>
          <w:rStyle w:val="aa"/>
          <w:rFonts w:ascii="Bookman Old Style" w:hAnsi="Bookman Old Style"/>
          <w:b/>
          <w:sz w:val="24"/>
          <w:szCs w:val="24"/>
        </w:rPr>
        <w:footnoteReference w:customMarkFollows="1" w:id="1"/>
        <w:sym w:font="Symbol" w:char="F02A"/>
      </w:r>
    </w:p>
    <w:p w:rsidR="00253D0F" w:rsidRPr="000C433A" w:rsidRDefault="00253D0F" w:rsidP="00EA7C52">
      <w:pPr>
        <w:spacing w:before="240" w:line="240" w:lineRule="auto"/>
        <w:jc w:val="center"/>
        <w:rPr>
          <w:rFonts w:ascii="Bookman Old Style" w:hAnsi="Bookman Old Style"/>
          <w:b/>
          <w:sz w:val="24"/>
          <w:szCs w:val="24"/>
        </w:rPr>
      </w:pPr>
    </w:p>
    <w:p w:rsidR="000C433A" w:rsidRPr="000C433A" w:rsidRDefault="000C433A" w:rsidP="000C433A">
      <w:pPr>
        <w:spacing w:after="0" w:line="240" w:lineRule="auto"/>
        <w:jc w:val="center"/>
        <w:rPr>
          <w:rFonts w:ascii="Bookman Old Style" w:hAnsi="Bookman Old Style"/>
          <w:b/>
          <w:sz w:val="24"/>
          <w:szCs w:val="24"/>
        </w:rPr>
      </w:pPr>
      <w:r w:rsidRPr="000C433A">
        <w:rPr>
          <w:rFonts w:ascii="Bookman Old Style" w:hAnsi="Bookman Old Style"/>
          <w:b/>
          <w:sz w:val="24"/>
          <w:szCs w:val="24"/>
        </w:rPr>
        <w:t>του Προκοπίου Παυλοπούλου</w:t>
      </w:r>
    </w:p>
    <w:p w:rsidR="000C433A" w:rsidRPr="000C433A" w:rsidRDefault="000C433A" w:rsidP="000C433A">
      <w:pPr>
        <w:spacing w:after="0" w:line="240" w:lineRule="auto"/>
        <w:jc w:val="center"/>
        <w:rPr>
          <w:rFonts w:ascii="Bookman Old Style" w:hAnsi="Bookman Old Style"/>
          <w:b/>
          <w:sz w:val="24"/>
          <w:szCs w:val="24"/>
        </w:rPr>
      </w:pPr>
      <w:r w:rsidRPr="000C433A">
        <w:rPr>
          <w:rFonts w:ascii="Bookman Old Style" w:hAnsi="Bookman Old Style"/>
          <w:b/>
          <w:sz w:val="24"/>
          <w:szCs w:val="24"/>
        </w:rPr>
        <w:t>τέως Προέδρου της Δημοκρατίας</w:t>
      </w:r>
    </w:p>
    <w:p w:rsidR="000C433A" w:rsidRPr="000C433A" w:rsidRDefault="000C433A" w:rsidP="000C433A">
      <w:pPr>
        <w:spacing w:after="0" w:line="240" w:lineRule="auto"/>
        <w:jc w:val="center"/>
        <w:rPr>
          <w:rFonts w:ascii="Bookman Old Style" w:hAnsi="Bookman Old Style"/>
          <w:b/>
          <w:sz w:val="24"/>
          <w:szCs w:val="24"/>
        </w:rPr>
      </w:pPr>
      <w:r w:rsidRPr="000C433A">
        <w:rPr>
          <w:rFonts w:ascii="Bookman Old Style" w:hAnsi="Bookman Old Style"/>
          <w:b/>
          <w:sz w:val="24"/>
          <w:szCs w:val="24"/>
        </w:rPr>
        <w:t>Επίτιμου Καθηγητή της Νομικής Σχολής</w:t>
      </w:r>
    </w:p>
    <w:p w:rsidR="000C433A" w:rsidRPr="000C433A" w:rsidRDefault="000C433A" w:rsidP="000C433A">
      <w:pPr>
        <w:spacing w:after="0" w:line="240" w:lineRule="auto"/>
        <w:jc w:val="center"/>
        <w:rPr>
          <w:rFonts w:ascii="Bookman Old Style" w:hAnsi="Bookman Old Style"/>
          <w:b/>
          <w:sz w:val="24"/>
          <w:szCs w:val="24"/>
        </w:rPr>
      </w:pPr>
      <w:r w:rsidRPr="000C433A">
        <w:rPr>
          <w:rFonts w:ascii="Bookman Old Style" w:hAnsi="Bookman Old Style"/>
          <w:b/>
          <w:sz w:val="24"/>
          <w:szCs w:val="24"/>
        </w:rPr>
        <w:t>του Εθνικού και Καποδιστριακού Πανεπιστημίου Αθηνών</w:t>
      </w:r>
    </w:p>
    <w:p w:rsidR="00FD4690" w:rsidRDefault="00FD4690" w:rsidP="00442F24">
      <w:pPr>
        <w:spacing w:before="240" w:line="360" w:lineRule="auto"/>
        <w:jc w:val="center"/>
        <w:rPr>
          <w:rFonts w:ascii="Bookman Old Style" w:hAnsi="Bookman Old Style"/>
          <w:b/>
          <w:sz w:val="24"/>
          <w:szCs w:val="24"/>
        </w:rPr>
      </w:pPr>
    </w:p>
    <w:p w:rsidR="000C433A" w:rsidRPr="00442F24" w:rsidRDefault="000C433A" w:rsidP="00442F24">
      <w:pPr>
        <w:spacing w:before="240" w:line="360" w:lineRule="auto"/>
        <w:jc w:val="center"/>
        <w:rPr>
          <w:rFonts w:ascii="Bookman Old Style" w:hAnsi="Bookman Old Style"/>
          <w:b/>
          <w:sz w:val="24"/>
          <w:szCs w:val="24"/>
        </w:rPr>
      </w:pPr>
      <w:r w:rsidRPr="00442F24">
        <w:rPr>
          <w:rFonts w:ascii="Bookman Old Style" w:hAnsi="Bookman Old Style"/>
          <w:b/>
          <w:sz w:val="24"/>
          <w:szCs w:val="24"/>
        </w:rPr>
        <w:t>Πρόλογος</w:t>
      </w:r>
    </w:p>
    <w:p w:rsidR="000C433A" w:rsidRDefault="000C433A" w:rsidP="00303AFA">
      <w:pPr>
        <w:spacing w:before="240" w:line="360" w:lineRule="auto"/>
        <w:jc w:val="both"/>
        <w:rPr>
          <w:rFonts w:ascii="Bookman Old Style" w:hAnsi="Bookman Old Style"/>
          <w:sz w:val="24"/>
          <w:szCs w:val="24"/>
        </w:rPr>
      </w:pPr>
      <w:r>
        <w:rPr>
          <w:rFonts w:ascii="Bookman Old Style" w:hAnsi="Bookman Old Style"/>
          <w:sz w:val="24"/>
          <w:szCs w:val="24"/>
        </w:rPr>
        <w:t xml:space="preserve">Το Ομοσπονδιακό </w:t>
      </w:r>
      <w:r w:rsidR="00EA7C52">
        <w:rPr>
          <w:rFonts w:ascii="Bookman Old Style" w:hAnsi="Bookman Old Style"/>
          <w:sz w:val="24"/>
          <w:szCs w:val="24"/>
        </w:rPr>
        <w:t xml:space="preserve">Συνταγματικό </w:t>
      </w:r>
      <w:r>
        <w:rPr>
          <w:rFonts w:ascii="Bookman Old Style" w:hAnsi="Bookman Old Style"/>
          <w:sz w:val="24"/>
          <w:szCs w:val="24"/>
        </w:rPr>
        <w:t>Δικαστήριο της Γερμανίας (</w:t>
      </w:r>
      <w:r w:rsidR="00EA7C52">
        <w:rPr>
          <w:rFonts w:ascii="Bookman Old Style" w:hAnsi="Bookman Old Style"/>
          <w:sz w:val="24"/>
          <w:szCs w:val="24"/>
          <w:lang w:val="en-US"/>
        </w:rPr>
        <w:t>BVerfG</w:t>
      </w:r>
      <w:r w:rsidRPr="000C433A">
        <w:rPr>
          <w:rFonts w:ascii="Bookman Old Style" w:hAnsi="Bookman Old Style"/>
          <w:sz w:val="24"/>
          <w:szCs w:val="24"/>
        </w:rPr>
        <w:t>)</w:t>
      </w:r>
      <w:r>
        <w:rPr>
          <w:rFonts w:ascii="Bookman Old Style" w:hAnsi="Bookman Old Style"/>
          <w:sz w:val="24"/>
          <w:szCs w:val="24"/>
        </w:rPr>
        <w:t>, μέσα από μια πορεία που άρχισε την 21</w:t>
      </w:r>
      <w:r w:rsidRPr="000C433A">
        <w:rPr>
          <w:rFonts w:ascii="Bookman Old Style" w:hAnsi="Bookman Old Style"/>
          <w:sz w:val="24"/>
          <w:szCs w:val="24"/>
          <w:vertAlign w:val="superscript"/>
        </w:rPr>
        <w:t>η</w:t>
      </w:r>
      <w:r>
        <w:rPr>
          <w:rFonts w:ascii="Bookman Old Style" w:hAnsi="Bookman Old Style"/>
          <w:sz w:val="24"/>
          <w:szCs w:val="24"/>
        </w:rPr>
        <w:t xml:space="preserve"> Ιουλίου 2016 και της οποίας η κατάληξη ήταν αναμενόμενη για τους «μυημένους» στα «</w:t>
      </w:r>
      <w:r>
        <w:rPr>
          <w:rFonts w:ascii="Bookman Old Style" w:hAnsi="Bookman Old Style"/>
          <w:sz w:val="24"/>
          <w:szCs w:val="24"/>
          <w:lang w:val="en-US"/>
        </w:rPr>
        <w:t>arcan</w:t>
      </w:r>
      <w:r w:rsidR="00EA7C52">
        <w:rPr>
          <w:rFonts w:ascii="Bookman Old Style" w:hAnsi="Bookman Old Style"/>
          <w:sz w:val="24"/>
          <w:szCs w:val="24"/>
          <w:lang w:val="en-US"/>
        </w:rPr>
        <w:t>a</w:t>
      </w:r>
      <w:r w:rsidRPr="000C433A">
        <w:rPr>
          <w:rFonts w:ascii="Bookman Old Style" w:hAnsi="Bookman Old Style"/>
          <w:sz w:val="24"/>
          <w:szCs w:val="24"/>
        </w:rPr>
        <w:t xml:space="preserve"> </w:t>
      </w:r>
      <w:r>
        <w:rPr>
          <w:rFonts w:ascii="Bookman Old Style" w:hAnsi="Bookman Old Style"/>
          <w:sz w:val="24"/>
          <w:szCs w:val="24"/>
          <w:lang w:val="en-US"/>
        </w:rPr>
        <w:t>juris</w:t>
      </w:r>
      <w:r>
        <w:rPr>
          <w:rFonts w:ascii="Bookman Old Style" w:hAnsi="Bookman Old Style"/>
          <w:sz w:val="24"/>
          <w:szCs w:val="24"/>
        </w:rPr>
        <w:t>» της νομολογίας του, «διέβη τον Ρουβίκωνα».</w:t>
      </w:r>
    </w:p>
    <w:p w:rsidR="000C433A" w:rsidRPr="00807ACF" w:rsidRDefault="006279A0" w:rsidP="006279A0">
      <w:pPr>
        <w:pStyle w:val="a3"/>
        <w:spacing w:before="240" w:line="360" w:lineRule="auto"/>
        <w:ind w:left="284" w:hanging="284"/>
        <w:contextualSpacing w:val="0"/>
        <w:jc w:val="both"/>
        <w:rPr>
          <w:rFonts w:ascii="Bookman Old Style" w:hAnsi="Bookman Old Style"/>
          <w:sz w:val="24"/>
          <w:szCs w:val="24"/>
        </w:rPr>
      </w:pPr>
      <w:r>
        <w:rPr>
          <w:rFonts w:ascii="Bookman Old Style" w:hAnsi="Bookman Old Style"/>
          <w:b/>
          <w:sz w:val="24"/>
          <w:szCs w:val="24"/>
        </w:rPr>
        <w:t xml:space="preserve">Α. </w:t>
      </w:r>
      <w:r w:rsidR="000C433A">
        <w:rPr>
          <w:rFonts w:ascii="Bookman Old Style" w:hAnsi="Bookman Old Style"/>
          <w:sz w:val="24"/>
          <w:szCs w:val="24"/>
        </w:rPr>
        <w:t>Με την απόφασή του της 5</w:t>
      </w:r>
      <w:r w:rsidR="000C433A" w:rsidRPr="000C433A">
        <w:rPr>
          <w:rFonts w:ascii="Bookman Old Style" w:hAnsi="Bookman Old Style"/>
          <w:sz w:val="24"/>
          <w:szCs w:val="24"/>
          <w:vertAlign w:val="superscript"/>
        </w:rPr>
        <w:t>ης</w:t>
      </w:r>
      <w:r w:rsidR="000C433A">
        <w:rPr>
          <w:rFonts w:ascii="Bookman Old Style" w:hAnsi="Bookman Old Style"/>
          <w:sz w:val="24"/>
          <w:szCs w:val="24"/>
        </w:rPr>
        <w:t xml:space="preserve"> Μαΐου 2020</w:t>
      </w:r>
      <w:r w:rsidR="002152C1">
        <w:rPr>
          <w:rFonts w:ascii="Bookman Old Style" w:hAnsi="Bookman Old Style"/>
          <w:sz w:val="24"/>
          <w:szCs w:val="24"/>
        </w:rPr>
        <w:t xml:space="preserve"> (υπόθεση «</w:t>
      </w:r>
      <w:r w:rsidR="002152C1">
        <w:rPr>
          <w:rFonts w:ascii="Bookman Old Style" w:hAnsi="Bookman Old Style"/>
          <w:sz w:val="24"/>
          <w:szCs w:val="24"/>
          <w:lang w:val="en-US"/>
        </w:rPr>
        <w:t>Weiss</w:t>
      </w:r>
      <w:r w:rsidR="002152C1">
        <w:rPr>
          <w:rFonts w:ascii="Bookman Old Style" w:hAnsi="Bookman Old Style"/>
          <w:sz w:val="24"/>
          <w:szCs w:val="24"/>
        </w:rPr>
        <w:t>»)</w:t>
      </w:r>
      <w:r w:rsidR="000C433A">
        <w:rPr>
          <w:rFonts w:ascii="Bookman Old Style" w:hAnsi="Bookman Old Style"/>
          <w:sz w:val="24"/>
          <w:szCs w:val="24"/>
        </w:rPr>
        <w:t>, έκανε τελικώς δεκτές ατομικές συνταγματικές προσφυγές κατά του Προγράμματος Αγοράς Ομολόγων του Κρατικού Τομέα («</w:t>
      </w:r>
      <w:r w:rsidR="000C433A">
        <w:rPr>
          <w:rFonts w:ascii="Bookman Old Style" w:hAnsi="Bookman Old Style"/>
          <w:sz w:val="24"/>
          <w:szCs w:val="24"/>
          <w:lang w:val="en-US"/>
        </w:rPr>
        <w:t>Public</w:t>
      </w:r>
      <w:r w:rsidR="000C433A" w:rsidRPr="000C433A">
        <w:rPr>
          <w:rFonts w:ascii="Bookman Old Style" w:hAnsi="Bookman Old Style"/>
          <w:sz w:val="24"/>
          <w:szCs w:val="24"/>
        </w:rPr>
        <w:t xml:space="preserve"> </w:t>
      </w:r>
      <w:r w:rsidR="000C433A">
        <w:rPr>
          <w:rFonts w:ascii="Bookman Old Style" w:hAnsi="Bookman Old Style"/>
          <w:sz w:val="24"/>
          <w:szCs w:val="24"/>
          <w:lang w:val="en-US"/>
        </w:rPr>
        <w:t>Sector</w:t>
      </w:r>
      <w:r w:rsidR="000C433A" w:rsidRPr="000C433A">
        <w:rPr>
          <w:rFonts w:ascii="Bookman Old Style" w:hAnsi="Bookman Old Style"/>
          <w:sz w:val="24"/>
          <w:szCs w:val="24"/>
        </w:rPr>
        <w:t xml:space="preserve"> </w:t>
      </w:r>
      <w:r w:rsidR="000C433A">
        <w:rPr>
          <w:rFonts w:ascii="Bookman Old Style" w:hAnsi="Bookman Old Style"/>
          <w:sz w:val="24"/>
          <w:szCs w:val="24"/>
          <w:lang w:val="en-US"/>
        </w:rPr>
        <w:t>Purchase</w:t>
      </w:r>
      <w:r w:rsidR="000C433A" w:rsidRPr="000C433A">
        <w:rPr>
          <w:rFonts w:ascii="Bookman Old Style" w:hAnsi="Bookman Old Style"/>
          <w:sz w:val="24"/>
          <w:szCs w:val="24"/>
        </w:rPr>
        <w:t xml:space="preserve"> </w:t>
      </w:r>
      <w:r w:rsidR="000C433A">
        <w:rPr>
          <w:rFonts w:ascii="Bookman Old Style" w:hAnsi="Bookman Old Style"/>
          <w:sz w:val="24"/>
          <w:szCs w:val="24"/>
          <w:lang w:val="en-US"/>
        </w:rPr>
        <w:t>Programme</w:t>
      </w:r>
      <w:r w:rsidR="000C433A" w:rsidRPr="000C433A">
        <w:rPr>
          <w:rFonts w:ascii="Bookman Old Style" w:hAnsi="Bookman Old Style"/>
          <w:sz w:val="24"/>
          <w:szCs w:val="24"/>
        </w:rPr>
        <w:t>-</w:t>
      </w:r>
      <w:r w:rsidR="000C433A">
        <w:rPr>
          <w:rFonts w:ascii="Bookman Old Style" w:hAnsi="Bookman Old Style"/>
          <w:sz w:val="24"/>
          <w:szCs w:val="24"/>
          <w:lang w:val="en-US"/>
        </w:rPr>
        <w:t>PSPP</w:t>
      </w:r>
      <w:r w:rsidR="000C433A">
        <w:rPr>
          <w:rFonts w:ascii="Bookman Old Style" w:hAnsi="Bookman Old Style"/>
          <w:sz w:val="24"/>
          <w:szCs w:val="24"/>
        </w:rPr>
        <w:t xml:space="preserve">»), το οποίο έκρινε αντίθετο </w:t>
      </w:r>
      <w:r w:rsidR="00697BF4">
        <w:rPr>
          <w:rFonts w:ascii="Bookman Old Style" w:hAnsi="Bookman Old Style"/>
          <w:sz w:val="24"/>
          <w:szCs w:val="24"/>
        </w:rPr>
        <w:t xml:space="preserve">και </w:t>
      </w:r>
      <w:r w:rsidR="000C433A">
        <w:rPr>
          <w:rFonts w:ascii="Bookman Old Style" w:hAnsi="Bookman Old Style"/>
          <w:sz w:val="24"/>
          <w:szCs w:val="24"/>
        </w:rPr>
        <w:t>προς ορισμένες βασικές διατάξεις του Συντάγματος της Ομοσπονδιακής Δημοκρατίας της Γερμανίας.  Πρόκειται για πρόγραμμα - πλαίσιο αγοράς περιουσιακών στοιχείων του κρατικού τομέα του Ευρωσυστήματος, το οποίο υιοθετήθηκε με την απόφαση της 4</w:t>
      </w:r>
      <w:r w:rsidR="000C433A" w:rsidRPr="000C433A">
        <w:rPr>
          <w:rFonts w:ascii="Bookman Old Style" w:hAnsi="Bookman Old Style"/>
          <w:sz w:val="24"/>
          <w:szCs w:val="24"/>
          <w:vertAlign w:val="superscript"/>
        </w:rPr>
        <w:t>ης</w:t>
      </w:r>
      <w:r w:rsidR="000C433A">
        <w:rPr>
          <w:rFonts w:ascii="Bookman Old Style" w:hAnsi="Bookman Old Style"/>
          <w:sz w:val="24"/>
          <w:szCs w:val="24"/>
        </w:rPr>
        <w:t xml:space="preserve"> Μαρτίου 2015 της Ευρωπαϊκής Κεντρικής Τράπεζας (ΕΚΤ)</w:t>
      </w:r>
      <w:r w:rsidR="00807ACF">
        <w:rPr>
          <w:rFonts w:ascii="Bookman Old Style" w:hAnsi="Bookman Old Style"/>
          <w:sz w:val="24"/>
          <w:szCs w:val="24"/>
        </w:rPr>
        <w:t xml:space="preserve"> -όπως τροποποιήθηκε</w:t>
      </w:r>
      <w:r w:rsidR="00EA7C52" w:rsidRPr="00EA7C52">
        <w:rPr>
          <w:rFonts w:ascii="Bookman Old Style" w:hAnsi="Bookman Old Style"/>
          <w:sz w:val="24"/>
          <w:szCs w:val="24"/>
        </w:rPr>
        <w:t>,</w:t>
      </w:r>
      <w:r w:rsidR="00807ACF">
        <w:rPr>
          <w:rFonts w:ascii="Bookman Old Style" w:hAnsi="Bookman Old Style"/>
          <w:sz w:val="24"/>
          <w:szCs w:val="24"/>
        </w:rPr>
        <w:t xml:space="preserve"> στην συνέχεια</w:t>
      </w:r>
      <w:r w:rsidR="00EA7C52" w:rsidRPr="00EA7C52">
        <w:rPr>
          <w:rFonts w:ascii="Bookman Old Style" w:hAnsi="Bookman Old Style"/>
          <w:sz w:val="24"/>
          <w:szCs w:val="24"/>
        </w:rPr>
        <w:t>,</w:t>
      </w:r>
      <w:r w:rsidR="00807ACF">
        <w:rPr>
          <w:rFonts w:ascii="Bookman Old Style" w:hAnsi="Bookman Old Style"/>
          <w:sz w:val="24"/>
          <w:szCs w:val="24"/>
        </w:rPr>
        <w:t xml:space="preserve"> από άλλες πέντε επιμέρους αποφάσεις της- και το οποίο αποσκοπεί στην αύξηση του χρηματικού όγκου για την στήριξη της κατανάλωσης και των επενδύσεων</w:t>
      </w:r>
      <w:r w:rsidR="00697BF4">
        <w:rPr>
          <w:rFonts w:ascii="Bookman Old Style" w:hAnsi="Bookman Old Style"/>
          <w:sz w:val="24"/>
          <w:szCs w:val="24"/>
        </w:rPr>
        <w:t>,</w:t>
      </w:r>
      <w:r w:rsidR="00807ACF">
        <w:rPr>
          <w:rFonts w:ascii="Bookman Old Style" w:hAnsi="Bookman Old Style"/>
          <w:sz w:val="24"/>
          <w:szCs w:val="24"/>
        </w:rPr>
        <w:t xml:space="preserve"> με στόχο την αύξηση του πληθωρισμού της Ευρωζώνης κοντά στο 2%.  </w:t>
      </w:r>
      <w:r w:rsidR="00EA7C52">
        <w:rPr>
          <w:rFonts w:ascii="Bookman Old Style" w:hAnsi="Bookman Old Style"/>
          <w:sz w:val="24"/>
          <w:szCs w:val="24"/>
          <w:lang w:val="en-US"/>
        </w:rPr>
        <w:t>M</w:t>
      </w:r>
      <w:r w:rsidR="00807ACF">
        <w:rPr>
          <w:rFonts w:ascii="Bookman Old Style" w:hAnsi="Bookman Old Style"/>
          <w:sz w:val="24"/>
          <w:szCs w:val="24"/>
        </w:rPr>
        <w:t>ε την ως άνω απόφασή του</w:t>
      </w:r>
      <w:r w:rsidR="00EA7C52" w:rsidRPr="00EA7C52">
        <w:rPr>
          <w:rFonts w:ascii="Bookman Old Style" w:hAnsi="Bookman Old Style"/>
          <w:sz w:val="24"/>
          <w:szCs w:val="24"/>
        </w:rPr>
        <w:t>,</w:t>
      </w:r>
      <w:r w:rsidR="00807ACF">
        <w:rPr>
          <w:rFonts w:ascii="Bookman Old Style" w:hAnsi="Bookman Old Style"/>
          <w:sz w:val="24"/>
          <w:szCs w:val="24"/>
        </w:rPr>
        <w:t xml:space="preserve"> το Ομοσπονδιακό Συνταγματικό Δικαστήριο της </w:t>
      </w:r>
      <w:r w:rsidR="00807ACF">
        <w:rPr>
          <w:rFonts w:ascii="Bookman Old Style" w:hAnsi="Bookman Old Style"/>
          <w:sz w:val="24"/>
          <w:szCs w:val="24"/>
        </w:rPr>
        <w:lastRenderedPageBreak/>
        <w:t xml:space="preserve">Γερμανίας έκρινε από την μια πλευρά ότι η προαναφερόμενη </w:t>
      </w:r>
      <w:r w:rsidR="00442F24">
        <w:rPr>
          <w:rFonts w:ascii="Bookman Old Style" w:hAnsi="Bookman Old Style"/>
          <w:sz w:val="24"/>
          <w:szCs w:val="24"/>
        </w:rPr>
        <w:t>απ</w:t>
      </w:r>
      <w:r w:rsidR="00807ACF">
        <w:rPr>
          <w:rFonts w:ascii="Bookman Old Style" w:hAnsi="Bookman Old Style"/>
          <w:sz w:val="24"/>
          <w:szCs w:val="24"/>
        </w:rPr>
        <w:t xml:space="preserve">όφαση της ΕΚΤ για το </w:t>
      </w:r>
      <w:r w:rsidR="00697BF4">
        <w:rPr>
          <w:rFonts w:ascii="Bookman Old Style" w:hAnsi="Bookman Old Style"/>
          <w:sz w:val="24"/>
          <w:szCs w:val="24"/>
        </w:rPr>
        <w:t>«</w:t>
      </w:r>
      <w:r w:rsidR="00807ACF">
        <w:rPr>
          <w:rFonts w:ascii="Bookman Old Style" w:hAnsi="Bookman Old Style"/>
          <w:sz w:val="24"/>
          <w:szCs w:val="24"/>
          <w:lang w:val="en-US"/>
        </w:rPr>
        <w:t>PSPP</w:t>
      </w:r>
      <w:r w:rsidR="00697BF4">
        <w:rPr>
          <w:rFonts w:ascii="Bookman Old Style" w:hAnsi="Bookman Old Style"/>
          <w:sz w:val="24"/>
          <w:szCs w:val="24"/>
        </w:rPr>
        <w:t>»</w:t>
      </w:r>
      <w:r w:rsidR="00807ACF" w:rsidRPr="00807ACF">
        <w:rPr>
          <w:rFonts w:ascii="Bookman Old Style" w:hAnsi="Bookman Old Style"/>
          <w:sz w:val="24"/>
          <w:szCs w:val="24"/>
        </w:rPr>
        <w:t xml:space="preserve"> </w:t>
      </w:r>
      <w:r w:rsidR="00807ACF">
        <w:rPr>
          <w:rFonts w:ascii="Bookman Old Style" w:hAnsi="Bookman Old Style"/>
          <w:sz w:val="24"/>
          <w:szCs w:val="24"/>
        </w:rPr>
        <w:t>κινήθηκε «</w:t>
      </w:r>
      <w:r w:rsidR="00807ACF">
        <w:rPr>
          <w:rFonts w:ascii="Bookman Old Style" w:hAnsi="Bookman Old Style"/>
          <w:sz w:val="24"/>
          <w:szCs w:val="24"/>
          <w:lang w:val="en-US"/>
        </w:rPr>
        <w:t>ultra</w:t>
      </w:r>
      <w:r w:rsidR="00697BF4">
        <w:rPr>
          <w:rFonts w:ascii="Bookman Old Style" w:hAnsi="Bookman Old Style"/>
          <w:sz w:val="24"/>
          <w:szCs w:val="24"/>
        </w:rPr>
        <w:t>-</w:t>
      </w:r>
      <w:r w:rsidR="00807ACF">
        <w:rPr>
          <w:rFonts w:ascii="Bookman Old Style" w:hAnsi="Bookman Old Style"/>
          <w:sz w:val="24"/>
          <w:szCs w:val="24"/>
          <w:lang w:val="en-US"/>
        </w:rPr>
        <w:t>vir</w:t>
      </w:r>
      <w:r w:rsidR="0035421B">
        <w:rPr>
          <w:rFonts w:ascii="Bookman Old Style" w:hAnsi="Bookman Old Style"/>
          <w:sz w:val="24"/>
          <w:szCs w:val="24"/>
          <w:lang w:val="en-US"/>
        </w:rPr>
        <w:t>e</w:t>
      </w:r>
      <w:r w:rsidR="00807ACF">
        <w:rPr>
          <w:rFonts w:ascii="Bookman Old Style" w:hAnsi="Bookman Old Style"/>
          <w:sz w:val="24"/>
          <w:szCs w:val="24"/>
          <w:lang w:val="en-US"/>
        </w:rPr>
        <w:t>s</w:t>
      </w:r>
      <w:r w:rsidR="00442F24">
        <w:rPr>
          <w:rFonts w:ascii="Bookman Old Style" w:hAnsi="Bookman Old Style"/>
          <w:sz w:val="24"/>
          <w:szCs w:val="24"/>
        </w:rPr>
        <w:t>»</w:t>
      </w:r>
      <w:r w:rsidR="00807ACF">
        <w:rPr>
          <w:rFonts w:ascii="Bookman Old Style" w:hAnsi="Bookman Old Style"/>
          <w:sz w:val="24"/>
          <w:szCs w:val="24"/>
        </w:rPr>
        <w:t xml:space="preserve">, κατά την ερμηνεία και εφαρμογή των άρθρων 119 και 127 επ. της Συνθήκης Λειτουργίας της Ευρωπαϊκής Ένωσης (ΣΛΕΕ) και </w:t>
      </w:r>
      <w:r w:rsidR="0035421B">
        <w:rPr>
          <w:rFonts w:ascii="Bookman Old Style" w:hAnsi="Bookman Old Style"/>
          <w:sz w:val="24"/>
          <w:szCs w:val="24"/>
        </w:rPr>
        <w:t>των άρθρων</w:t>
      </w:r>
      <w:r w:rsidR="00807ACF">
        <w:rPr>
          <w:rFonts w:ascii="Bookman Old Style" w:hAnsi="Bookman Old Style"/>
          <w:sz w:val="24"/>
          <w:szCs w:val="24"/>
        </w:rPr>
        <w:t xml:space="preserve"> 17 επ. του Κανονισμού της ΕΚΤ.  Και, από την άλλη πλευρά, ότι δεν δεσμεύεται από τ</w:t>
      </w:r>
      <w:r w:rsidR="0035421B">
        <w:rPr>
          <w:rFonts w:ascii="Bookman Old Style" w:hAnsi="Bookman Old Style"/>
          <w:sz w:val="24"/>
          <w:szCs w:val="24"/>
        </w:rPr>
        <w:t>ις</w:t>
      </w:r>
      <w:r w:rsidR="00807ACF">
        <w:rPr>
          <w:rFonts w:ascii="Bookman Old Style" w:hAnsi="Bookman Old Style"/>
          <w:sz w:val="24"/>
          <w:szCs w:val="24"/>
        </w:rPr>
        <w:t xml:space="preserve"> περί </w:t>
      </w:r>
      <w:r w:rsidR="006969D3">
        <w:rPr>
          <w:rFonts w:ascii="Bookman Old Style" w:hAnsi="Bookman Old Style"/>
          <w:sz w:val="24"/>
          <w:szCs w:val="24"/>
        </w:rPr>
        <w:t>του</w:t>
      </w:r>
      <w:r w:rsidR="00807ACF">
        <w:rPr>
          <w:rFonts w:ascii="Bookman Old Style" w:hAnsi="Bookman Old Style"/>
          <w:sz w:val="24"/>
          <w:szCs w:val="24"/>
        </w:rPr>
        <w:t xml:space="preserve"> αντιθέτου κρίσ</w:t>
      </w:r>
      <w:r w:rsidR="00EA7C52">
        <w:rPr>
          <w:rFonts w:ascii="Bookman Old Style" w:hAnsi="Bookman Old Style"/>
          <w:sz w:val="24"/>
          <w:szCs w:val="24"/>
        </w:rPr>
        <w:t>ει</w:t>
      </w:r>
      <w:r w:rsidR="00807ACF">
        <w:rPr>
          <w:rFonts w:ascii="Bookman Old Style" w:hAnsi="Bookman Old Style"/>
          <w:sz w:val="24"/>
          <w:szCs w:val="24"/>
        </w:rPr>
        <w:t>ς του Δικα</w:t>
      </w:r>
      <w:r w:rsidR="00442F24">
        <w:rPr>
          <w:rFonts w:ascii="Bookman Old Style" w:hAnsi="Bookman Old Style"/>
          <w:sz w:val="24"/>
          <w:szCs w:val="24"/>
        </w:rPr>
        <w:t>σ</w:t>
      </w:r>
      <w:r w:rsidR="00807ACF">
        <w:rPr>
          <w:rFonts w:ascii="Bookman Old Style" w:hAnsi="Bookman Old Style"/>
          <w:sz w:val="24"/>
          <w:szCs w:val="24"/>
        </w:rPr>
        <w:t xml:space="preserve">τηρίου της Ευρωπαϊκής Ένωσης (ΔΕΕ). </w:t>
      </w:r>
    </w:p>
    <w:p w:rsidR="00807ACF" w:rsidRPr="006279A0" w:rsidRDefault="006279A0" w:rsidP="006279A0">
      <w:pPr>
        <w:spacing w:before="240" w:line="360" w:lineRule="auto"/>
        <w:ind w:left="360" w:hanging="360"/>
        <w:jc w:val="both"/>
        <w:rPr>
          <w:rFonts w:ascii="Bookman Old Style" w:hAnsi="Bookman Old Style"/>
          <w:sz w:val="24"/>
          <w:szCs w:val="24"/>
        </w:rPr>
      </w:pPr>
      <w:r w:rsidRPr="006279A0">
        <w:rPr>
          <w:rFonts w:ascii="Bookman Old Style" w:hAnsi="Bookman Old Style"/>
          <w:b/>
          <w:sz w:val="24"/>
          <w:szCs w:val="24"/>
        </w:rPr>
        <w:t xml:space="preserve">Β. </w:t>
      </w:r>
      <w:r w:rsidR="00807ACF" w:rsidRPr="006279A0">
        <w:rPr>
          <w:rFonts w:ascii="Bookman Old Style" w:hAnsi="Bookman Old Style"/>
          <w:sz w:val="24"/>
          <w:szCs w:val="24"/>
        </w:rPr>
        <w:t xml:space="preserve">Υπό τα δεδομένα αυτά, το </w:t>
      </w:r>
      <w:r w:rsidR="00442F24" w:rsidRPr="006279A0">
        <w:rPr>
          <w:rFonts w:ascii="Bookman Old Style" w:hAnsi="Bookman Old Style"/>
          <w:sz w:val="24"/>
          <w:szCs w:val="24"/>
        </w:rPr>
        <w:t>Ομοσπονδιακό Συνταγματικό Δικαστήριο της Γερμανίας, αμφισβητώντας ευθέως το δεδικασμένο των αποφάσεων του ΔΕΕ -ακόμη και όταν έχουν εκδοθεί ύστερα από προδικαστικό ερώτημα που</w:t>
      </w:r>
      <w:r w:rsidR="00EA7C52" w:rsidRPr="006279A0">
        <w:rPr>
          <w:rFonts w:ascii="Bookman Old Style" w:hAnsi="Bookman Old Style"/>
          <w:sz w:val="24"/>
          <w:szCs w:val="24"/>
        </w:rPr>
        <w:t xml:space="preserve"> το ίδιο</w:t>
      </w:r>
      <w:r w:rsidR="00442F24" w:rsidRPr="006279A0">
        <w:rPr>
          <w:rFonts w:ascii="Bookman Old Style" w:hAnsi="Bookman Old Style"/>
          <w:sz w:val="24"/>
          <w:szCs w:val="24"/>
        </w:rPr>
        <w:t xml:space="preserve"> του απηύθυνε- και προκρίνοντας την δική του ερμηνεία ως προς το Ευρωπαϊκό Δίκαιο, πρωτογενές και παράγωγο, έναντι εκείν</w:t>
      </w:r>
      <w:r w:rsidR="00EA7C52" w:rsidRPr="006279A0">
        <w:rPr>
          <w:rFonts w:ascii="Bookman Old Style" w:hAnsi="Bookman Old Style"/>
          <w:sz w:val="24"/>
          <w:szCs w:val="24"/>
        </w:rPr>
        <w:t>ης</w:t>
      </w:r>
      <w:r w:rsidR="00442F24" w:rsidRPr="006279A0">
        <w:rPr>
          <w:rFonts w:ascii="Bookman Old Style" w:hAnsi="Bookman Old Style"/>
          <w:sz w:val="24"/>
          <w:szCs w:val="24"/>
        </w:rPr>
        <w:t xml:space="preserve"> του ΔΕΕ, περνώντας το μάλιστα «υπό τα καυδιανά δίκρανα» του Συντάγματος της Ομοσπονδιακής Δημοκρατίας της Γερμανίας, ουσιαστικ</w:t>
      </w:r>
      <w:r w:rsidR="00EA7C52" w:rsidRPr="006279A0">
        <w:rPr>
          <w:rFonts w:ascii="Bookman Old Style" w:hAnsi="Bookman Old Style"/>
          <w:sz w:val="24"/>
          <w:szCs w:val="24"/>
        </w:rPr>
        <w:t>ώς</w:t>
      </w:r>
      <w:r w:rsidR="00442F24" w:rsidRPr="006279A0">
        <w:rPr>
          <w:rFonts w:ascii="Bookman Old Style" w:hAnsi="Bookman Old Style"/>
          <w:sz w:val="24"/>
          <w:szCs w:val="24"/>
        </w:rPr>
        <w:t xml:space="preserve"> κατέληξε στο ακόλουθο συμπέρασμα: Ο Εθνικός Δικαστής, έλκοντας την καταγωγή του ως προς την έκταση της δικαιοδοσίας του από το οικείο Εθνικό Σύνταγμα και την σύμφωνη με αυτό Εθνική Έννομη Τάξη, είναι αρμόδιος να ερμηνεύσει </w:t>
      </w:r>
      <w:r w:rsidR="00EA7C52" w:rsidRPr="006279A0">
        <w:rPr>
          <w:rFonts w:ascii="Bookman Old Style" w:hAnsi="Bookman Old Style"/>
          <w:sz w:val="24"/>
          <w:szCs w:val="24"/>
        </w:rPr>
        <w:t xml:space="preserve">και </w:t>
      </w:r>
      <w:r w:rsidR="00442F24" w:rsidRPr="006279A0">
        <w:rPr>
          <w:rFonts w:ascii="Bookman Old Style" w:hAnsi="Bookman Old Style"/>
          <w:sz w:val="24"/>
          <w:szCs w:val="24"/>
        </w:rPr>
        <w:t>το Ευρωπαϊκό Δίκαιο κάνοντας, κατ’ αποτέλεσμα</w:t>
      </w:r>
      <w:r w:rsidR="00EA7C52" w:rsidRPr="006279A0">
        <w:rPr>
          <w:rFonts w:ascii="Bookman Old Style" w:hAnsi="Bookman Old Style"/>
          <w:sz w:val="24"/>
          <w:szCs w:val="24"/>
        </w:rPr>
        <w:t>, σύμφωνη</w:t>
      </w:r>
      <w:r w:rsidR="00442F24" w:rsidRPr="006279A0">
        <w:rPr>
          <w:rFonts w:ascii="Bookman Old Style" w:hAnsi="Bookman Old Style"/>
          <w:sz w:val="24"/>
          <w:szCs w:val="24"/>
        </w:rPr>
        <w:t xml:space="preserve"> με το Σύνταγμα αυτό ερμηνεία των κατά περίπτωση διατάξεων του Ευρωπαϊκού Δικαίου.  Συνακόλουθα, η αντίστοιχη κρίση του ΔΕΕ δεν είναι</w:t>
      </w:r>
      <w:r w:rsidR="00EA7C52" w:rsidRPr="006279A0">
        <w:rPr>
          <w:rFonts w:ascii="Bookman Old Style" w:hAnsi="Bookman Old Style"/>
          <w:sz w:val="24"/>
          <w:szCs w:val="24"/>
        </w:rPr>
        <w:t xml:space="preserve">  πάντα</w:t>
      </w:r>
      <w:r w:rsidR="00442F24" w:rsidRPr="006279A0">
        <w:rPr>
          <w:rFonts w:ascii="Bookman Old Style" w:hAnsi="Bookman Old Style"/>
          <w:sz w:val="24"/>
          <w:szCs w:val="24"/>
        </w:rPr>
        <w:t xml:space="preserve"> δεσμευτική για τον Εθνικό Δικαστή, γεγονός που, αναμφισβήτητα, οδηγεί περαιτέρω στην εκ πλαγίου υιοθέτηση της θέσης ότι υπάρχουν περιπτώσεις</w:t>
      </w:r>
      <w:r w:rsidR="00EA7C52" w:rsidRPr="006279A0">
        <w:rPr>
          <w:rFonts w:ascii="Bookman Old Style" w:hAnsi="Bookman Old Style"/>
          <w:sz w:val="24"/>
          <w:szCs w:val="24"/>
        </w:rPr>
        <w:t>,</w:t>
      </w:r>
      <w:r w:rsidR="00442F24" w:rsidRPr="006279A0">
        <w:rPr>
          <w:rFonts w:ascii="Bookman Old Style" w:hAnsi="Bookman Old Style"/>
          <w:sz w:val="24"/>
          <w:szCs w:val="24"/>
        </w:rPr>
        <w:t xml:space="preserve"> όπου η υπεροχή του Ευρωπαϊκού Δικαίου κάμπτεται ενώπιον εκείνης του Εθνικού Συντάγματος.  Η απόφαση της 5</w:t>
      </w:r>
      <w:r w:rsidR="00442F24" w:rsidRPr="006279A0">
        <w:rPr>
          <w:rFonts w:ascii="Bookman Old Style" w:hAnsi="Bookman Old Style"/>
          <w:sz w:val="24"/>
          <w:szCs w:val="24"/>
          <w:vertAlign w:val="superscript"/>
        </w:rPr>
        <w:t>ης</w:t>
      </w:r>
      <w:r w:rsidR="00442F24" w:rsidRPr="006279A0">
        <w:rPr>
          <w:rFonts w:ascii="Bookman Old Style" w:hAnsi="Bookman Old Style"/>
          <w:sz w:val="24"/>
          <w:szCs w:val="24"/>
        </w:rPr>
        <w:t xml:space="preserve"> Μαΐου 2020 του Ομοσπονδιακού Συνταγματικού Δικαστηρίου της Γερμανίας δεν ήλθε ως «κεραυνός εν αιθρία».  Τα μηνύματά του προς αυτή την κατεύθυνση είχαν προηγηθεί, με την απόφασή του της 21</w:t>
      </w:r>
      <w:r w:rsidR="00442F24" w:rsidRPr="006279A0">
        <w:rPr>
          <w:rFonts w:ascii="Bookman Old Style" w:hAnsi="Bookman Old Style"/>
          <w:sz w:val="24"/>
          <w:szCs w:val="24"/>
          <w:vertAlign w:val="superscript"/>
        </w:rPr>
        <w:t>ης</w:t>
      </w:r>
      <w:r w:rsidR="00442F24" w:rsidRPr="006279A0">
        <w:rPr>
          <w:rFonts w:ascii="Bookman Old Style" w:hAnsi="Bookman Old Style"/>
          <w:sz w:val="24"/>
          <w:szCs w:val="24"/>
        </w:rPr>
        <w:t xml:space="preserve"> Ιουνίου 2016.  Αξίζει</w:t>
      </w:r>
      <w:r w:rsidR="00710CB2" w:rsidRPr="006279A0">
        <w:rPr>
          <w:rFonts w:ascii="Bookman Old Style" w:hAnsi="Bookman Old Style"/>
          <w:sz w:val="24"/>
          <w:szCs w:val="24"/>
        </w:rPr>
        <w:t>,</w:t>
      </w:r>
      <w:r w:rsidR="00442F24" w:rsidRPr="006279A0">
        <w:rPr>
          <w:rFonts w:ascii="Bookman Old Style" w:hAnsi="Bookman Old Style"/>
          <w:sz w:val="24"/>
          <w:szCs w:val="24"/>
        </w:rPr>
        <w:t xml:space="preserve"> λοιπόν, τον κόπο να παρακολουθήσει κανείς την όλη διαδρομή αυτής της νομολογιακής πορείας, από την αφετηρία της ως την κατάληξή της. </w:t>
      </w:r>
    </w:p>
    <w:p w:rsidR="00710CB2" w:rsidRPr="00710CB2" w:rsidRDefault="00710CB2" w:rsidP="00303AFA">
      <w:pPr>
        <w:spacing w:before="240" w:line="360" w:lineRule="auto"/>
        <w:ind w:left="284" w:hanging="284"/>
        <w:jc w:val="both"/>
        <w:rPr>
          <w:rFonts w:ascii="Bookman Old Style" w:hAnsi="Bookman Old Style"/>
          <w:sz w:val="24"/>
          <w:szCs w:val="24"/>
        </w:rPr>
      </w:pPr>
      <w:r w:rsidRPr="00710CB2">
        <w:rPr>
          <w:rFonts w:ascii="Bookman Old Style" w:hAnsi="Bookman Old Style"/>
          <w:b/>
          <w:sz w:val="24"/>
          <w:szCs w:val="24"/>
        </w:rPr>
        <w:t xml:space="preserve">Γ. </w:t>
      </w:r>
      <w:r>
        <w:rPr>
          <w:rFonts w:ascii="Bookman Old Style" w:hAnsi="Bookman Old Style"/>
          <w:sz w:val="24"/>
          <w:szCs w:val="24"/>
        </w:rPr>
        <w:t xml:space="preserve">Τούτο είναι δικαιολογημένο και εκ του γεγονότος </w:t>
      </w:r>
      <w:r w:rsidR="00697BF4">
        <w:rPr>
          <w:rFonts w:ascii="Bookman Old Style" w:hAnsi="Bookman Old Style"/>
          <w:sz w:val="24"/>
          <w:szCs w:val="24"/>
        </w:rPr>
        <w:t>πως</w:t>
      </w:r>
      <w:r>
        <w:rPr>
          <w:rFonts w:ascii="Bookman Old Style" w:hAnsi="Bookman Old Style"/>
          <w:sz w:val="24"/>
          <w:szCs w:val="24"/>
        </w:rPr>
        <w:t xml:space="preserve"> το Ομοσπονδιακό Συνταγματικό Δικαστήριο της Γερμανίας βρήκε, προκειμένου ν’ </w:t>
      </w:r>
      <w:r>
        <w:rPr>
          <w:rFonts w:ascii="Bookman Old Style" w:hAnsi="Bookman Old Style"/>
          <w:sz w:val="24"/>
          <w:szCs w:val="24"/>
        </w:rPr>
        <w:lastRenderedPageBreak/>
        <w:t xml:space="preserve">ακολουθήσει αυτή την νομολογιακή τακτική, πρόσφορο έδαφος στο ότι εκκρεμεί πάντα το ζήτημα της θέσπισης ενός πραγματικού Συντάγματος της Ευρωπαϊκής Ένωσης, ικανού ν’ αποτελέσει το «θεμέλιο» της Ευρωπαϊκής Έννομης Τάξης.  Πάνε πολλά χρόνια από τότε που απέτυχαν οι προσπάθειες προς αυτή την κατεύθυνση, και δεν είναι της ώρας ν’ αναζητήσει κανείς το ποιος και </w:t>
      </w:r>
      <w:r w:rsidR="00697BF4">
        <w:rPr>
          <w:rFonts w:ascii="Bookman Old Style" w:hAnsi="Bookman Old Style"/>
          <w:sz w:val="24"/>
          <w:szCs w:val="24"/>
        </w:rPr>
        <w:t>πόσο</w:t>
      </w:r>
      <w:r>
        <w:rPr>
          <w:rFonts w:ascii="Bookman Old Style" w:hAnsi="Bookman Old Style"/>
          <w:sz w:val="24"/>
          <w:szCs w:val="24"/>
        </w:rPr>
        <w:t xml:space="preserve"> ευθύνεται εν προκειμένω</w:t>
      </w:r>
      <w:r w:rsidR="00697BF4">
        <w:rPr>
          <w:rFonts w:ascii="Bookman Old Style" w:hAnsi="Bookman Old Style"/>
          <w:sz w:val="24"/>
          <w:szCs w:val="24"/>
        </w:rPr>
        <w:t xml:space="preserve">. </w:t>
      </w:r>
      <w:r>
        <w:rPr>
          <w:rFonts w:ascii="Bookman Old Style" w:hAnsi="Bookman Old Style"/>
          <w:sz w:val="24"/>
          <w:szCs w:val="24"/>
        </w:rPr>
        <w:t xml:space="preserve"> </w:t>
      </w:r>
      <w:r w:rsidR="00697BF4">
        <w:rPr>
          <w:rFonts w:ascii="Bookman Old Style" w:hAnsi="Bookman Old Style"/>
          <w:sz w:val="24"/>
          <w:szCs w:val="24"/>
        </w:rPr>
        <w:t>Α</w:t>
      </w:r>
      <w:r>
        <w:rPr>
          <w:rFonts w:ascii="Bookman Old Style" w:hAnsi="Bookman Old Style"/>
          <w:sz w:val="24"/>
          <w:szCs w:val="24"/>
        </w:rPr>
        <w:t xml:space="preserve">ν και είναι περισσότερο από βέβαιο ότι το κύριο μέρος της ευθύνης πέφτει στα μεγαλύτερα Κράτη-Μέλη της Ευρωπαϊκής Ένωσης, τα οποία απέρριψαν το τότε -αρκετά ατελές για να είμαστε ακριβείς- «σχέδιο» Ευρωπαϊκού Συντάγματος, μολονότι μικρότερα Κράτη-Μέλη, όπως η Ελλάδα, είχαν ακολουθήσει άλλη κατεύθυνση και το είχαν υιοθετήσει, αποδεικνύοντας στην πράξη την προσήλωσή τους στην ολοκλήρωση του Ευρωπαϊκού Οικοδομήματος.  Επιπλέον, οφείλουμε να έχουμε πλήρη συνείδηση του ότι η έλλειψη ενός πραγματικού Ευρωπαϊκού Συντάγματος είναι η πιο ασφαλής απόδειξη </w:t>
      </w:r>
      <w:r w:rsidR="00E45870">
        <w:rPr>
          <w:rFonts w:ascii="Bookman Old Style" w:hAnsi="Bookman Old Style"/>
          <w:sz w:val="24"/>
          <w:szCs w:val="24"/>
        </w:rPr>
        <w:t>πως</w:t>
      </w:r>
      <w:r>
        <w:rPr>
          <w:rFonts w:ascii="Bookman Old Style" w:hAnsi="Bookman Old Style"/>
          <w:sz w:val="24"/>
          <w:szCs w:val="24"/>
        </w:rPr>
        <w:t xml:space="preserve"> η Ευρωπαϊκή Ενοποίηση καρκινοβατεί επικίνδυνα, αν δεν έχει ήδη αρχίσει να κάνει διαβρωτικά βήματα προς τα πίσω. </w:t>
      </w:r>
      <w:r w:rsidR="002152C1">
        <w:rPr>
          <w:rFonts w:ascii="Bookman Old Style" w:hAnsi="Bookman Old Style"/>
          <w:sz w:val="24"/>
          <w:szCs w:val="24"/>
        </w:rPr>
        <w:t xml:space="preserve"> Και το σπουδαιότερο: Είναι ανάγκη να γίνει κατανοητό ότι πρέπει, δίχως χρονοτριβή</w:t>
      </w:r>
      <w:r w:rsidR="00B5346F">
        <w:rPr>
          <w:rFonts w:ascii="Bookman Old Style" w:hAnsi="Bookman Old Style"/>
          <w:sz w:val="24"/>
          <w:szCs w:val="24"/>
        </w:rPr>
        <w:t>,</w:t>
      </w:r>
      <w:r w:rsidR="002152C1">
        <w:rPr>
          <w:rFonts w:ascii="Bookman Old Style" w:hAnsi="Bookman Old Style"/>
          <w:sz w:val="24"/>
          <w:szCs w:val="24"/>
        </w:rPr>
        <w:t xml:space="preserve"> να γίνουν τα αποφασιστικά εκείνα βήματα, τα οποία θ’ αποτρέψουν την συνέχιση αυτής της μορφής «αποσύνθεσης» της Ευρωπαϊκής Έννομης Τάξης, όταν μάλιστα η στάση του Ομοσπονδιακού Συνταγματικού Δικαστηρίου Γερμανίας κάθε άλλο παρά ως μεμονωμένο φαινόμενο μπορεί να χαρακτηρισθεί, </w:t>
      </w:r>
      <w:r w:rsidR="00B5346F">
        <w:rPr>
          <w:rFonts w:ascii="Bookman Old Style" w:hAnsi="Bookman Old Style"/>
          <w:sz w:val="24"/>
          <w:szCs w:val="24"/>
        </w:rPr>
        <w:t>αφού</w:t>
      </w:r>
      <w:r w:rsidR="002152C1">
        <w:rPr>
          <w:rFonts w:ascii="Bookman Old Style" w:hAnsi="Bookman Old Style"/>
          <w:sz w:val="24"/>
          <w:szCs w:val="24"/>
        </w:rPr>
        <w:t xml:space="preserve"> πολλά άλλα παρεμφερή φαινόμενα παρατηρούνται σε Κράτη-Μέλη της Ευρωπαϊκής Ένωσης.  Αυτή την διαδρομή προβληματισμού ακολουθούν οι σκέψεις, οι οποίες εκτίθενται στη</w:t>
      </w:r>
      <w:r w:rsidR="00B5346F">
        <w:rPr>
          <w:rFonts w:ascii="Bookman Old Style" w:hAnsi="Bookman Old Style"/>
          <w:sz w:val="24"/>
          <w:szCs w:val="24"/>
        </w:rPr>
        <w:t>ν</w:t>
      </w:r>
      <w:r w:rsidR="002152C1">
        <w:rPr>
          <w:rFonts w:ascii="Bookman Old Style" w:hAnsi="Bookman Old Style"/>
          <w:sz w:val="24"/>
          <w:szCs w:val="24"/>
        </w:rPr>
        <w:t xml:space="preserve"> συνέχεια. </w:t>
      </w:r>
    </w:p>
    <w:p w:rsidR="00AB3A5A" w:rsidRPr="00AB3A5A" w:rsidRDefault="00AB3A5A" w:rsidP="00303AFA">
      <w:pPr>
        <w:spacing w:before="240" w:after="240" w:line="360" w:lineRule="auto"/>
        <w:ind w:left="284" w:hanging="284"/>
        <w:jc w:val="both"/>
        <w:rPr>
          <w:rFonts w:ascii="Bookman Old Style" w:hAnsi="Bookman Old Style"/>
          <w:b/>
          <w:sz w:val="24"/>
          <w:szCs w:val="24"/>
        </w:rPr>
      </w:pPr>
      <w:r>
        <w:rPr>
          <w:rFonts w:ascii="Bookman Old Style" w:hAnsi="Bookman Old Style"/>
          <w:b/>
          <w:sz w:val="24"/>
          <w:szCs w:val="24"/>
        </w:rPr>
        <w:t>Ι. Τα προεόρτια: Οι «περίτεχνες» κρίσεις της απόφασης του Ομοσπονδιακού Συνταγματικού Δικαστηρίου της 21</w:t>
      </w:r>
      <w:r w:rsidRPr="00AB3A5A">
        <w:rPr>
          <w:rFonts w:ascii="Bookman Old Style" w:hAnsi="Bookman Old Style"/>
          <w:b/>
          <w:sz w:val="24"/>
          <w:szCs w:val="24"/>
          <w:vertAlign w:val="superscript"/>
        </w:rPr>
        <w:t>ης</w:t>
      </w:r>
      <w:r>
        <w:rPr>
          <w:rFonts w:ascii="Bookman Old Style" w:hAnsi="Bookman Old Style"/>
          <w:b/>
          <w:sz w:val="24"/>
          <w:szCs w:val="24"/>
        </w:rPr>
        <w:t xml:space="preserve"> Ιουνίου 2016</w:t>
      </w:r>
      <w:r w:rsidR="00710CB2">
        <w:rPr>
          <w:rFonts w:ascii="Bookman Old Style" w:hAnsi="Bookman Old Style"/>
          <w:b/>
          <w:sz w:val="24"/>
          <w:szCs w:val="24"/>
        </w:rPr>
        <w:t>.</w:t>
      </w:r>
    </w:p>
    <w:p w:rsidR="00AB3A5A" w:rsidRPr="00AB3A5A" w:rsidRDefault="00AB3A5A" w:rsidP="00303AFA">
      <w:pPr>
        <w:spacing w:before="240" w:after="240" w:line="360" w:lineRule="auto"/>
        <w:jc w:val="both"/>
        <w:rPr>
          <w:rFonts w:ascii="Bookman Old Style" w:hAnsi="Bookman Old Style"/>
          <w:sz w:val="24"/>
          <w:szCs w:val="24"/>
        </w:rPr>
      </w:pPr>
      <w:r w:rsidRPr="00AB3A5A">
        <w:rPr>
          <w:rFonts w:ascii="Bookman Old Style" w:hAnsi="Bookman Old Style"/>
          <w:sz w:val="24"/>
          <w:szCs w:val="24"/>
        </w:rPr>
        <w:t>Η απόφαση του δεύτερου τμήματος του Ομοσπονδιακού Συνταγματικού Δικαστηρίου της Γερμανίας</w:t>
      </w:r>
      <w:r>
        <w:rPr>
          <w:rFonts w:ascii="Bookman Old Style" w:hAnsi="Bookman Old Style"/>
          <w:sz w:val="24"/>
          <w:szCs w:val="24"/>
        </w:rPr>
        <w:t xml:space="preserve"> </w:t>
      </w:r>
      <w:r w:rsidRPr="00AB3A5A">
        <w:rPr>
          <w:rFonts w:ascii="Bookman Old Style" w:hAnsi="Bookman Old Style"/>
          <w:sz w:val="24"/>
          <w:szCs w:val="24"/>
        </w:rPr>
        <w:t>της 21</w:t>
      </w:r>
      <w:r w:rsidRPr="00AB3A5A">
        <w:rPr>
          <w:rFonts w:ascii="Bookman Old Style" w:hAnsi="Bookman Old Style"/>
          <w:sz w:val="24"/>
          <w:szCs w:val="24"/>
          <w:vertAlign w:val="superscript"/>
        </w:rPr>
        <w:t>ης</w:t>
      </w:r>
      <w:r w:rsidRPr="00AB3A5A">
        <w:rPr>
          <w:rFonts w:ascii="Bookman Old Style" w:hAnsi="Bookman Old Style"/>
          <w:sz w:val="24"/>
          <w:szCs w:val="24"/>
        </w:rPr>
        <w:t xml:space="preserve"> Ιουνίου 2016</w:t>
      </w:r>
      <w:r w:rsidR="00774118">
        <w:rPr>
          <w:rFonts w:ascii="Bookman Old Style" w:hAnsi="Bookman Old Style"/>
          <w:sz w:val="24"/>
          <w:szCs w:val="24"/>
        </w:rPr>
        <w:t xml:space="preserve"> (υπόθεση «</w:t>
      </w:r>
      <w:r w:rsidR="00774118">
        <w:rPr>
          <w:rFonts w:ascii="Bookman Old Style" w:hAnsi="Bookman Old Style"/>
          <w:sz w:val="24"/>
          <w:szCs w:val="24"/>
          <w:lang w:val="en-US"/>
        </w:rPr>
        <w:t>Gauweiler</w:t>
      </w:r>
      <w:r w:rsidR="00774118">
        <w:rPr>
          <w:rFonts w:ascii="Bookman Old Style" w:hAnsi="Bookman Old Style"/>
          <w:sz w:val="24"/>
          <w:szCs w:val="24"/>
        </w:rPr>
        <w:t>»</w:t>
      </w:r>
      <w:r w:rsidR="005822AA" w:rsidRPr="005822AA">
        <w:rPr>
          <w:rFonts w:ascii="Bookman Old Style" w:hAnsi="Bookman Old Style"/>
          <w:sz w:val="24"/>
          <w:szCs w:val="24"/>
        </w:rPr>
        <w:t>)</w:t>
      </w:r>
      <w:r>
        <w:rPr>
          <w:rFonts w:ascii="Bookman Old Style" w:hAnsi="Bookman Old Style"/>
          <w:sz w:val="24"/>
          <w:szCs w:val="24"/>
        </w:rPr>
        <w:t>,</w:t>
      </w:r>
      <w:r w:rsidRPr="00AB3A5A">
        <w:rPr>
          <w:rFonts w:ascii="Bookman Old Style" w:hAnsi="Bookman Old Style"/>
          <w:sz w:val="24"/>
          <w:szCs w:val="24"/>
        </w:rPr>
        <w:t xml:space="preserve"> στην υπόθεση του προγράμματος αγοράς ομολόγων </w:t>
      </w:r>
      <w:r w:rsidR="00710CB2">
        <w:rPr>
          <w:rFonts w:ascii="Bookman Old Style" w:hAnsi="Bookman Old Style"/>
          <w:sz w:val="24"/>
          <w:szCs w:val="24"/>
        </w:rPr>
        <w:t>«</w:t>
      </w:r>
      <w:r w:rsidRPr="00AB3A5A">
        <w:rPr>
          <w:rFonts w:ascii="Bookman Old Style" w:hAnsi="Bookman Old Style"/>
          <w:sz w:val="24"/>
          <w:szCs w:val="24"/>
        </w:rPr>
        <w:t>ΟΜΤ</w:t>
      </w:r>
      <w:r w:rsidR="00710CB2">
        <w:rPr>
          <w:rFonts w:ascii="Bookman Old Style" w:hAnsi="Bookman Old Style"/>
          <w:sz w:val="24"/>
          <w:szCs w:val="24"/>
        </w:rPr>
        <w:t>»</w:t>
      </w:r>
      <w:r w:rsidRPr="00AB3A5A">
        <w:rPr>
          <w:rFonts w:ascii="Bookman Old Style" w:hAnsi="Bookman Old Style"/>
          <w:sz w:val="24"/>
          <w:szCs w:val="24"/>
        </w:rPr>
        <w:t xml:space="preserve"> («Outright </w:t>
      </w:r>
      <w:r w:rsidRPr="00AB3A5A">
        <w:rPr>
          <w:rFonts w:ascii="Bookman Old Style" w:hAnsi="Bookman Old Style"/>
          <w:sz w:val="24"/>
          <w:szCs w:val="24"/>
        </w:rPr>
        <w:lastRenderedPageBreak/>
        <w:t>Monetary Transactions» - «Οριστικές Νομισματικές Συναλλαγές») της Ευρωπαϊκής Κεντρικής Τράπεζας (ΕΚΤ)</w:t>
      </w:r>
      <w:r>
        <w:rPr>
          <w:rFonts w:ascii="Bookman Old Style" w:hAnsi="Bookman Old Style"/>
          <w:sz w:val="24"/>
          <w:szCs w:val="24"/>
        </w:rPr>
        <w:t>,</w:t>
      </w:r>
      <w:r w:rsidRPr="00AB3A5A">
        <w:rPr>
          <w:rFonts w:ascii="Bookman Old Style" w:hAnsi="Bookman Old Style"/>
          <w:sz w:val="24"/>
          <w:szCs w:val="24"/>
        </w:rPr>
        <w:t xml:space="preserve"> συνιστά την ιστορικώς πρώτη απόφασ</w:t>
      </w:r>
      <w:r>
        <w:rPr>
          <w:rFonts w:ascii="Bookman Old Style" w:hAnsi="Bookman Old Style"/>
          <w:sz w:val="24"/>
          <w:szCs w:val="24"/>
        </w:rPr>
        <w:t>ή</w:t>
      </w:r>
      <w:r w:rsidRPr="00AB3A5A">
        <w:rPr>
          <w:rFonts w:ascii="Bookman Old Style" w:hAnsi="Bookman Old Style"/>
          <w:sz w:val="24"/>
          <w:szCs w:val="24"/>
        </w:rPr>
        <w:t xml:space="preserve"> του που εκδίδεται ύστερα από υποβολή προδικαστικού ερωτήματός του στο ΔΕΕ. Από πλευράς τόσο σημασίας όσο και δογματικής θεμελίωσης, αποτελεί συνέχεια των βασικών αποφάσεων των ετών 1993 και 2009, με τις οποίες κρίθηκε η συνταγματική νομιμότητα των Συνθηκών του Μάαστριχτ και της Λισσαβώνας</w:t>
      </w:r>
      <w:r w:rsidR="00710CB2">
        <w:rPr>
          <w:rFonts w:ascii="Bookman Old Style" w:hAnsi="Bookman Old Style"/>
          <w:sz w:val="24"/>
          <w:szCs w:val="24"/>
        </w:rPr>
        <w:t>,</w:t>
      </w:r>
      <w:r w:rsidRPr="00AB3A5A">
        <w:rPr>
          <w:rFonts w:ascii="Bookman Old Style" w:hAnsi="Bookman Old Style"/>
          <w:sz w:val="24"/>
          <w:szCs w:val="24"/>
        </w:rPr>
        <w:t xml:space="preserve"> αντιστοίχως</w:t>
      </w:r>
      <w:r w:rsidR="00710CB2">
        <w:rPr>
          <w:rFonts w:ascii="Bookman Old Style" w:hAnsi="Bookman Old Style"/>
          <w:sz w:val="24"/>
          <w:szCs w:val="24"/>
        </w:rPr>
        <w:t>,</w:t>
      </w:r>
      <w:r w:rsidRPr="00AB3A5A">
        <w:rPr>
          <w:rFonts w:ascii="Bookman Old Style" w:hAnsi="Bookman Old Style"/>
          <w:sz w:val="24"/>
          <w:szCs w:val="24"/>
        </w:rPr>
        <w:t xml:space="preserve"> και τέθηκαν οι προϋποθέσεις συμμετοχής της Γερμανίας στην Ευρωπαϊκή Ένωση. Κοινή «δογματική» βάση των τριών αποφάσεων είναι τα συνταγματικά όρια που τίθενται από την </w:t>
      </w:r>
      <w:r>
        <w:rPr>
          <w:rFonts w:ascii="Bookman Old Style" w:hAnsi="Bookman Old Style"/>
          <w:sz w:val="24"/>
          <w:szCs w:val="24"/>
        </w:rPr>
        <w:t>Δ</w:t>
      </w:r>
      <w:r w:rsidRPr="00AB3A5A">
        <w:rPr>
          <w:rFonts w:ascii="Bookman Old Style" w:hAnsi="Bookman Old Style"/>
          <w:sz w:val="24"/>
          <w:szCs w:val="24"/>
        </w:rPr>
        <w:t xml:space="preserve">ημοκρατική </w:t>
      </w:r>
      <w:r>
        <w:rPr>
          <w:rFonts w:ascii="Bookman Old Style" w:hAnsi="Bookman Old Style"/>
          <w:sz w:val="24"/>
          <w:szCs w:val="24"/>
        </w:rPr>
        <w:t>Α</w:t>
      </w:r>
      <w:r w:rsidRPr="00AB3A5A">
        <w:rPr>
          <w:rFonts w:ascii="Bookman Old Style" w:hAnsi="Bookman Old Style"/>
          <w:sz w:val="24"/>
          <w:szCs w:val="24"/>
        </w:rPr>
        <w:t xml:space="preserve">ρχή και την αρχή της </w:t>
      </w:r>
      <w:r>
        <w:rPr>
          <w:rFonts w:ascii="Bookman Old Style" w:hAnsi="Bookman Old Style"/>
          <w:sz w:val="24"/>
          <w:szCs w:val="24"/>
        </w:rPr>
        <w:t>Λ</w:t>
      </w:r>
      <w:r w:rsidRPr="00AB3A5A">
        <w:rPr>
          <w:rFonts w:ascii="Bookman Old Style" w:hAnsi="Bookman Old Style"/>
          <w:sz w:val="24"/>
          <w:szCs w:val="24"/>
        </w:rPr>
        <w:t xml:space="preserve">αϊκής </w:t>
      </w:r>
      <w:r>
        <w:rPr>
          <w:rFonts w:ascii="Bookman Old Style" w:hAnsi="Bookman Old Style"/>
          <w:sz w:val="24"/>
          <w:szCs w:val="24"/>
        </w:rPr>
        <w:t>Κ</w:t>
      </w:r>
      <w:r w:rsidRPr="00AB3A5A">
        <w:rPr>
          <w:rFonts w:ascii="Bookman Old Style" w:hAnsi="Bookman Old Style"/>
          <w:sz w:val="24"/>
          <w:szCs w:val="24"/>
        </w:rPr>
        <w:t xml:space="preserve">υριαρχίας στην διαδικασία </w:t>
      </w:r>
      <w:r w:rsidR="00710CB2">
        <w:rPr>
          <w:rFonts w:ascii="Bookman Old Style" w:hAnsi="Bookman Old Style"/>
          <w:sz w:val="24"/>
          <w:szCs w:val="24"/>
        </w:rPr>
        <w:t xml:space="preserve">της </w:t>
      </w:r>
      <w:r>
        <w:rPr>
          <w:rFonts w:ascii="Bookman Old Style" w:hAnsi="Bookman Old Style"/>
          <w:sz w:val="24"/>
          <w:szCs w:val="24"/>
        </w:rPr>
        <w:t>Ε</w:t>
      </w:r>
      <w:r w:rsidRPr="00AB3A5A">
        <w:rPr>
          <w:rFonts w:ascii="Bookman Old Style" w:hAnsi="Bookman Old Style"/>
          <w:sz w:val="24"/>
          <w:szCs w:val="24"/>
        </w:rPr>
        <w:t xml:space="preserve">υρωπαϊκής </w:t>
      </w:r>
      <w:r>
        <w:rPr>
          <w:rFonts w:ascii="Bookman Old Style" w:hAnsi="Bookman Old Style"/>
          <w:sz w:val="24"/>
          <w:szCs w:val="24"/>
        </w:rPr>
        <w:t>Ε</w:t>
      </w:r>
      <w:r w:rsidRPr="00AB3A5A">
        <w:rPr>
          <w:rFonts w:ascii="Bookman Old Style" w:hAnsi="Bookman Old Style"/>
          <w:sz w:val="24"/>
          <w:szCs w:val="24"/>
        </w:rPr>
        <w:t xml:space="preserve">νοποίησης: Όπως γίνεται παγίως δεκτό, οι αρχές της δοτής αρμοδιότητας των οργάνων της Ευρωπαϊκής Ένωσης και της -εξ αυτής προκύπτουσας- επικουρικότητας σχετίζονται αμέσως και με την </w:t>
      </w:r>
      <w:r>
        <w:rPr>
          <w:rFonts w:ascii="Bookman Old Style" w:hAnsi="Bookman Old Style"/>
          <w:sz w:val="24"/>
          <w:szCs w:val="24"/>
        </w:rPr>
        <w:t>Δ</w:t>
      </w:r>
      <w:r w:rsidRPr="00AB3A5A">
        <w:rPr>
          <w:rFonts w:ascii="Bookman Old Style" w:hAnsi="Bookman Old Style"/>
          <w:sz w:val="24"/>
          <w:szCs w:val="24"/>
        </w:rPr>
        <w:t xml:space="preserve">ημοκρατική </w:t>
      </w:r>
      <w:r>
        <w:rPr>
          <w:rFonts w:ascii="Bookman Old Style" w:hAnsi="Bookman Old Style"/>
          <w:sz w:val="24"/>
          <w:szCs w:val="24"/>
        </w:rPr>
        <w:t>Α</w:t>
      </w:r>
      <w:r w:rsidRPr="00AB3A5A">
        <w:rPr>
          <w:rFonts w:ascii="Bookman Old Style" w:hAnsi="Bookman Old Style"/>
          <w:sz w:val="24"/>
          <w:szCs w:val="24"/>
        </w:rPr>
        <w:t>ρχή, ώστε η παρ</w:t>
      </w:r>
      <w:r w:rsidR="0035421B">
        <w:rPr>
          <w:rFonts w:ascii="Bookman Old Style" w:hAnsi="Bookman Old Style"/>
          <w:sz w:val="24"/>
          <w:szCs w:val="24"/>
        </w:rPr>
        <w:t>αβίασή</w:t>
      </w:r>
      <w:r w:rsidRPr="00AB3A5A">
        <w:rPr>
          <w:rFonts w:ascii="Bookman Old Style" w:hAnsi="Bookman Old Style"/>
          <w:sz w:val="24"/>
          <w:szCs w:val="24"/>
        </w:rPr>
        <w:t xml:space="preserve"> τους να μην αντίκειται μόνο στις Συνθήκες της Ευρωπαϊκής Ένωσης αλλά και στο γερμανικό Σύνταγμα</w:t>
      </w:r>
      <w:r w:rsidR="00697BF4">
        <w:rPr>
          <w:rFonts w:ascii="Bookman Old Style" w:hAnsi="Bookman Old Style"/>
          <w:sz w:val="24"/>
          <w:szCs w:val="24"/>
        </w:rPr>
        <w:t>,</w:t>
      </w:r>
      <w:r w:rsidRPr="00AB3A5A">
        <w:rPr>
          <w:rFonts w:ascii="Bookman Old Style" w:hAnsi="Bookman Old Style"/>
          <w:sz w:val="24"/>
          <w:szCs w:val="24"/>
        </w:rPr>
        <w:t xml:space="preserve"> επέκεινα δε και στα Συντάγματα των λοιπών </w:t>
      </w:r>
      <w:r w:rsidR="005610F3">
        <w:rPr>
          <w:rFonts w:ascii="Bookman Old Style" w:hAnsi="Bookman Old Style"/>
          <w:sz w:val="24"/>
          <w:szCs w:val="24"/>
        </w:rPr>
        <w:t>Κ</w:t>
      </w:r>
      <w:r w:rsidRPr="00AB3A5A">
        <w:rPr>
          <w:rFonts w:ascii="Bookman Old Style" w:hAnsi="Bookman Old Style"/>
          <w:sz w:val="24"/>
          <w:szCs w:val="24"/>
        </w:rPr>
        <w:t>ρατών-</w:t>
      </w:r>
      <w:r w:rsidR="005610F3">
        <w:rPr>
          <w:rFonts w:ascii="Bookman Old Style" w:hAnsi="Bookman Old Style"/>
          <w:sz w:val="24"/>
          <w:szCs w:val="24"/>
        </w:rPr>
        <w:t>Μ</w:t>
      </w:r>
      <w:r w:rsidRPr="00AB3A5A">
        <w:rPr>
          <w:rFonts w:ascii="Bookman Old Style" w:hAnsi="Bookman Old Style"/>
          <w:sz w:val="24"/>
          <w:szCs w:val="24"/>
        </w:rPr>
        <w:t xml:space="preserve">ελών.  </w:t>
      </w:r>
      <w:r w:rsidR="00C1677C">
        <w:rPr>
          <w:rFonts w:ascii="Bookman Old Style" w:hAnsi="Bookman Old Style"/>
          <w:sz w:val="24"/>
          <w:szCs w:val="24"/>
        </w:rPr>
        <w:t>Γεγονός</w:t>
      </w:r>
      <w:r w:rsidRPr="00AB3A5A">
        <w:rPr>
          <w:rFonts w:ascii="Bookman Old Style" w:hAnsi="Bookman Old Style"/>
          <w:sz w:val="24"/>
          <w:szCs w:val="24"/>
        </w:rPr>
        <w:t xml:space="preserve"> που σημαίνει ότι, κατά την κρατούσα και στον χώρο της συνταγματικής δικαιοσύνης των </w:t>
      </w:r>
      <w:r w:rsidR="005610F3">
        <w:rPr>
          <w:rFonts w:ascii="Bookman Old Style" w:hAnsi="Bookman Old Style"/>
          <w:sz w:val="24"/>
          <w:szCs w:val="24"/>
        </w:rPr>
        <w:t>Κ</w:t>
      </w:r>
      <w:r w:rsidRPr="00AB3A5A">
        <w:rPr>
          <w:rFonts w:ascii="Bookman Old Style" w:hAnsi="Bookman Old Style"/>
          <w:sz w:val="24"/>
          <w:szCs w:val="24"/>
        </w:rPr>
        <w:t>ρατών-</w:t>
      </w:r>
      <w:r w:rsidR="005610F3">
        <w:rPr>
          <w:rFonts w:ascii="Bookman Old Style" w:hAnsi="Bookman Old Style"/>
          <w:sz w:val="24"/>
          <w:szCs w:val="24"/>
        </w:rPr>
        <w:t>Μ</w:t>
      </w:r>
      <w:r w:rsidRPr="00AB3A5A">
        <w:rPr>
          <w:rFonts w:ascii="Bookman Old Style" w:hAnsi="Bookman Old Style"/>
          <w:sz w:val="24"/>
          <w:szCs w:val="24"/>
        </w:rPr>
        <w:t>ελών της Ευρωπαϊκής Ένωσης θέσης</w:t>
      </w:r>
      <w:r w:rsidR="00710CB2">
        <w:rPr>
          <w:rFonts w:ascii="Bookman Old Style" w:hAnsi="Bookman Old Style"/>
          <w:sz w:val="24"/>
          <w:szCs w:val="24"/>
        </w:rPr>
        <w:t xml:space="preserve"> και κατά τα προλεχθέντα,</w:t>
      </w:r>
      <w:r w:rsidRPr="00AB3A5A">
        <w:rPr>
          <w:rFonts w:ascii="Bookman Old Style" w:hAnsi="Bookman Old Style"/>
          <w:sz w:val="24"/>
          <w:szCs w:val="24"/>
        </w:rPr>
        <w:t xml:space="preserve"> έως ότου η τελευταία αποκτήσει ενιαίο συνταγματικό θεμέλιο, ως αφετηρία αλλά και ως αποτέλεσμα της θεσμικής και πολιτικής της ενοποίησης, το Σύνταγμα κάθε </w:t>
      </w:r>
      <w:r w:rsidR="005610F3">
        <w:rPr>
          <w:rFonts w:ascii="Bookman Old Style" w:hAnsi="Bookman Old Style"/>
          <w:sz w:val="24"/>
          <w:szCs w:val="24"/>
        </w:rPr>
        <w:t>Κ</w:t>
      </w:r>
      <w:r w:rsidRPr="00AB3A5A">
        <w:rPr>
          <w:rFonts w:ascii="Bookman Old Style" w:hAnsi="Bookman Old Style"/>
          <w:sz w:val="24"/>
          <w:szCs w:val="24"/>
        </w:rPr>
        <w:t>ράτους-</w:t>
      </w:r>
      <w:r w:rsidR="005610F3">
        <w:rPr>
          <w:rFonts w:ascii="Bookman Old Style" w:hAnsi="Bookman Old Style"/>
          <w:sz w:val="24"/>
          <w:szCs w:val="24"/>
        </w:rPr>
        <w:t>Μ</w:t>
      </w:r>
      <w:r w:rsidRPr="00AB3A5A">
        <w:rPr>
          <w:rFonts w:ascii="Bookman Old Style" w:hAnsi="Bookman Old Style"/>
          <w:sz w:val="24"/>
          <w:szCs w:val="24"/>
        </w:rPr>
        <w:t xml:space="preserve">έλους υπέρκειται του </w:t>
      </w:r>
      <w:r w:rsidR="005610F3">
        <w:rPr>
          <w:rFonts w:ascii="Bookman Old Style" w:hAnsi="Bookman Old Style"/>
          <w:sz w:val="24"/>
          <w:szCs w:val="24"/>
        </w:rPr>
        <w:t>Ε</w:t>
      </w:r>
      <w:r w:rsidRPr="00AB3A5A">
        <w:rPr>
          <w:rFonts w:ascii="Bookman Old Style" w:hAnsi="Bookman Old Style"/>
          <w:sz w:val="24"/>
          <w:szCs w:val="24"/>
        </w:rPr>
        <w:t xml:space="preserve">υρωπαϊκού </w:t>
      </w:r>
      <w:r w:rsidR="005610F3">
        <w:rPr>
          <w:rFonts w:ascii="Bookman Old Style" w:hAnsi="Bookman Old Style"/>
          <w:sz w:val="24"/>
          <w:szCs w:val="24"/>
        </w:rPr>
        <w:t>Δ</w:t>
      </w:r>
      <w:r w:rsidRPr="00AB3A5A">
        <w:rPr>
          <w:rFonts w:ascii="Bookman Old Style" w:hAnsi="Bookman Old Style"/>
          <w:sz w:val="24"/>
          <w:szCs w:val="24"/>
        </w:rPr>
        <w:t xml:space="preserve">ικαίου –πρωτογενούς και παραγώγου- βεβαίως ως προς τα κάθε είδους όργανα του οικείου </w:t>
      </w:r>
      <w:r w:rsidR="005610F3">
        <w:rPr>
          <w:rFonts w:ascii="Bookman Old Style" w:hAnsi="Bookman Old Style"/>
          <w:sz w:val="24"/>
          <w:szCs w:val="24"/>
        </w:rPr>
        <w:t>Κ</w:t>
      </w:r>
      <w:r w:rsidRPr="00AB3A5A">
        <w:rPr>
          <w:rFonts w:ascii="Bookman Old Style" w:hAnsi="Bookman Old Style"/>
          <w:sz w:val="24"/>
          <w:szCs w:val="24"/>
        </w:rPr>
        <w:t>ράτους.  Με βάση την σκέψη αυτή</w:t>
      </w:r>
      <w:r w:rsidR="0035421B">
        <w:rPr>
          <w:rFonts w:ascii="Bookman Old Style" w:hAnsi="Bookman Old Style"/>
          <w:sz w:val="24"/>
          <w:szCs w:val="24"/>
        </w:rPr>
        <w:t>,</w:t>
      </w:r>
      <w:r w:rsidRPr="00AB3A5A">
        <w:rPr>
          <w:rFonts w:ascii="Bookman Old Style" w:hAnsi="Bookman Old Style"/>
          <w:sz w:val="24"/>
          <w:szCs w:val="24"/>
        </w:rPr>
        <w:t xml:space="preserve"> το </w:t>
      </w:r>
      <w:r w:rsidR="005610F3">
        <w:rPr>
          <w:rFonts w:ascii="Bookman Old Style" w:hAnsi="Bookman Old Style"/>
          <w:sz w:val="24"/>
          <w:szCs w:val="24"/>
        </w:rPr>
        <w:t>Ομοσπονδιακ</w:t>
      </w:r>
      <w:r w:rsidR="00710CB2">
        <w:rPr>
          <w:rFonts w:ascii="Bookman Old Style" w:hAnsi="Bookman Old Style"/>
          <w:sz w:val="24"/>
          <w:szCs w:val="24"/>
        </w:rPr>
        <w:t>ό</w:t>
      </w:r>
      <w:r w:rsidR="005610F3">
        <w:rPr>
          <w:rFonts w:ascii="Bookman Old Style" w:hAnsi="Bookman Old Style"/>
          <w:sz w:val="24"/>
          <w:szCs w:val="24"/>
        </w:rPr>
        <w:t xml:space="preserve"> Συνταγματικό Δικαστήριο της Γερμανίας</w:t>
      </w:r>
      <w:r w:rsidRPr="00AB3A5A">
        <w:rPr>
          <w:rFonts w:ascii="Bookman Old Style" w:hAnsi="Bookman Old Style"/>
          <w:sz w:val="24"/>
          <w:szCs w:val="24"/>
        </w:rPr>
        <w:t xml:space="preserve"> επιφυλάχθηκε, κατά την πάγια νομολογία του, ν’ ασκεί το ίδιο τον έλεγχο των πράξεων των οργάνων της Ευρωπαϊκής Ένωσης ως προς την υπέρβαση των ορίων της αρμοδιότητάς τους </w:t>
      </w:r>
      <w:r w:rsidR="00697BF4">
        <w:rPr>
          <w:rFonts w:ascii="Bookman Old Style" w:hAnsi="Bookman Old Style"/>
          <w:sz w:val="24"/>
          <w:szCs w:val="24"/>
        </w:rPr>
        <w:t>-</w:t>
      </w:r>
      <w:r w:rsidRPr="00AB3A5A">
        <w:rPr>
          <w:rFonts w:ascii="Bookman Old Style" w:hAnsi="Bookman Old Style"/>
          <w:sz w:val="24"/>
          <w:szCs w:val="24"/>
        </w:rPr>
        <w:t>έλεγχος «ultra</w:t>
      </w:r>
      <w:r w:rsidR="00697BF4">
        <w:rPr>
          <w:rFonts w:ascii="Bookman Old Style" w:hAnsi="Bookman Old Style"/>
          <w:sz w:val="24"/>
          <w:szCs w:val="24"/>
        </w:rPr>
        <w:t>-</w:t>
      </w:r>
      <w:r w:rsidRPr="00AB3A5A">
        <w:rPr>
          <w:rFonts w:ascii="Bookman Old Style" w:hAnsi="Bookman Old Style"/>
          <w:sz w:val="24"/>
          <w:szCs w:val="24"/>
        </w:rPr>
        <w:t>vires», περιορίζοντας πάντως τον έλεγχό του μόνο σ’ έλεγχο καταφανούς πα</w:t>
      </w:r>
      <w:r w:rsidR="00710CB2">
        <w:rPr>
          <w:rFonts w:ascii="Bookman Old Style" w:hAnsi="Bookman Old Style"/>
          <w:sz w:val="24"/>
          <w:szCs w:val="24"/>
        </w:rPr>
        <w:t>ραβί</w:t>
      </w:r>
      <w:r w:rsidRPr="00AB3A5A">
        <w:rPr>
          <w:rFonts w:ascii="Bookman Old Style" w:hAnsi="Bookman Old Style"/>
          <w:sz w:val="24"/>
          <w:szCs w:val="24"/>
        </w:rPr>
        <w:t xml:space="preserve">ασης των Συνθηκών. Στο πλαίσιο αυτό, το </w:t>
      </w:r>
      <w:r w:rsidR="005610F3">
        <w:rPr>
          <w:rFonts w:ascii="Bookman Old Style" w:hAnsi="Bookman Old Style"/>
          <w:sz w:val="24"/>
          <w:szCs w:val="24"/>
        </w:rPr>
        <w:t xml:space="preserve">Ομοσπονδιακό Συνταγματικό Δικαστήριο της Γερμανίας </w:t>
      </w:r>
      <w:r w:rsidRPr="00AB3A5A">
        <w:rPr>
          <w:rFonts w:ascii="Bookman Old Style" w:hAnsi="Bookman Old Style"/>
          <w:sz w:val="24"/>
          <w:szCs w:val="24"/>
        </w:rPr>
        <w:t xml:space="preserve">ήλεγξε εν προκειμένω αν δια του προγράμματος </w:t>
      </w:r>
      <w:r w:rsidR="00710CB2">
        <w:rPr>
          <w:rFonts w:ascii="Bookman Old Style" w:hAnsi="Bookman Old Style"/>
          <w:sz w:val="24"/>
          <w:szCs w:val="24"/>
        </w:rPr>
        <w:t>«</w:t>
      </w:r>
      <w:r w:rsidRPr="00AB3A5A">
        <w:rPr>
          <w:rFonts w:ascii="Bookman Old Style" w:hAnsi="Bookman Old Style"/>
          <w:sz w:val="24"/>
          <w:szCs w:val="24"/>
        </w:rPr>
        <w:t>ΟΜΤ</w:t>
      </w:r>
      <w:r w:rsidR="00710CB2">
        <w:rPr>
          <w:rFonts w:ascii="Bookman Old Style" w:hAnsi="Bookman Old Style"/>
          <w:sz w:val="24"/>
          <w:szCs w:val="24"/>
        </w:rPr>
        <w:t>»</w:t>
      </w:r>
      <w:r w:rsidRPr="00AB3A5A">
        <w:rPr>
          <w:rFonts w:ascii="Bookman Old Style" w:hAnsi="Bookman Old Style"/>
          <w:sz w:val="24"/>
          <w:szCs w:val="24"/>
        </w:rPr>
        <w:t xml:space="preserve"> η ΕΚΤ προ</w:t>
      </w:r>
      <w:r w:rsidR="0035421B">
        <w:rPr>
          <w:rFonts w:ascii="Bookman Old Style" w:hAnsi="Bookman Old Style"/>
          <w:sz w:val="24"/>
          <w:szCs w:val="24"/>
        </w:rPr>
        <w:t>έβη</w:t>
      </w:r>
      <w:r w:rsidRPr="00AB3A5A">
        <w:rPr>
          <w:rFonts w:ascii="Bookman Old Style" w:hAnsi="Bookman Old Style"/>
          <w:sz w:val="24"/>
          <w:szCs w:val="24"/>
        </w:rPr>
        <w:t xml:space="preserve"> σ’ έμμεση χρηματοδότηση </w:t>
      </w:r>
      <w:r w:rsidR="005610F3">
        <w:rPr>
          <w:rFonts w:ascii="Bookman Old Style" w:hAnsi="Bookman Old Style"/>
          <w:sz w:val="24"/>
          <w:szCs w:val="24"/>
        </w:rPr>
        <w:t>Κ</w:t>
      </w:r>
      <w:r w:rsidRPr="00AB3A5A">
        <w:rPr>
          <w:rFonts w:ascii="Bookman Old Style" w:hAnsi="Bookman Old Style"/>
          <w:sz w:val="24"/>
          <w:szCs w:val="24"/>
        </w:rPr>
        <w:t>ρατών-</w:t>
      </w:r>
      <w:r w:rsidR="005610F3">
        <w:rPr>
          <w:rFonts w:ascii="Bookman Old Style" w:hAnsi="Bookman Old Style"/>
          <w:sz w:val="24"/>
          <w:szCs w:val="24"/>
        </w:rPr>
        <w:t>Μ</w:t>
      </w:r>
      <w:r w:rsidRPr="00AB3A5A">
        <w:rPr>
          <w:rFonts w:ascii="Bookman Old Style" w:hAnsi="Bookman Old Style"/>
          <w:sz w:val="24"/>
          <w:szCs w:val="24"/>
        </w:rPr>
        <w:t>ελών</w:t>
      </w:r>
      <w:r w:rsidR="00710CB2">
        <w:rPr>
          <w:rFonts w:ascii="Bookman Old Style" w:hAnsi="Bookman Old Style"/>
          <w:sz w:val="24"/>
          <w:szCs w:val="24"/>
        </w:rPr>
        <w:t>,</w:t>
      </w:r>
      <w:r w:rsidRPr="00AB3A5A">
        <w:rPr>
          <w:rFonts w:ascii="Bookman Old Style" w:hAnsi="Bookman Old Style"/>
          <w:sz w:val="24"/>
          <w:szCs w:val="24"/>
        </w:rPr>
        <w:t xml:space="preserve"> κατά παράβαση των Συνθηκών</w:t>
      </w:r>
      <w:r w:rsidR="00697BF4">
        <w:rPr>
          <w:rFonts w:ascii="Bookman Old Style" w:hAnsi="Bookman Old Style"/>
          <w:sz w:val="24"/>
          <w:szCs w:val="24"/>
        </w:rPr>
        <w:t>,</w:t>
      </w:r>
      <w:r w:rsidRPr="00AB3A5A">
        <w:rPr>
          <w:rFonts w:ascii="Bookman Old Style" w:hAnsi="Bookman Old Style"/>
          <w:sz w:val="24"/>
          <w:szCs w:val="24"/>
        </w:rPr>
        <w:t xml:space="preserve"> καθώς και αν </w:t>
      </w:r>
      <w:r w:rsidR="0035421B">
        <w:rPr>
          <w:rFonts w:ascii="Bookman Old Style" w:hAnsi="Bookman Old Style"/>
          <w:sz w:val="24"/>
          <w:szCs w:val="24"/>
        </w:rPr>
        <w:t>υπερέβη</w:t>
      </w:r>
      <w:r w:rsidRPr="00AB3A5A">
        <w:rPr>
          <w:rFonts w:ascii="Bookman Old Style" w:hAnsi="Bookman Old Style"/>
          <w:sz w:val="24"/>
          <w:szCs w:val="24"/>
        </w:rPr>
        <w:t xml:space="preserve"> τις </w:t>
      </w:r>
      <w:r w:rsidRPr="00AB3A5A">
        <w:rPr>
          <w:rFonts w:ascii="Bookman Old Style" w:hAnsi="Bookman Old Style"/>
          <w:sz w:val="24"/>
          <w:szCs w:val="24"/>
        </w:rPr>
        <w:lastRenderedPageBreak/>
        <w:t>αρμοδιότητές της λόγω αντιποίησης της εξουσίας άσκησης δημοσιονομικής πολιτικής του Γερμανικού Κοινοβουλίου.</w:t>
      </w:r>
    </w:p>
    <w:p w:rsidR="00AB3A5A" w:rsidRPr="00AB3A5A" w:rsidRDefault="005610F3" w:rsidP="00303AFA">
      <w:pPr>
        <w:pStyle w:val="1"/>
        <w:tabs>
          <w:tab w:val="left" w:pos="4395"/>
        </w:tabs>
        <w:spacing w:before="240" w:after="240" w:line="360" w:lineRule="auto"/>
        <w:ind w:left="284" w:hanging="284"/>
        <w:jc w:val="both"/>
        <w:rPr>
          <w:rFonts w:ascii="Bookman Old Style" w:hAnsi="Bookman Old Style"/>
          <w:b/>
          <w:sz w:val="24"/>
          <w:szCs w:val="24"/>
          <w:lang w:val="el-GR"/>
        </w:rPr>
      </w:pPr>
      <w:r w:rsidRPr="005610F3">
        <w:rPr>
          <w:rFonts w:ascii="Bookman Old Style" w:hAnsi="Bookman Old Style"/>
          <w:b/>
          <w:sz w:val="24"/>
          <w:szCs w:val="24"/>
          <w:lang w:val="el-GR"/>
        </w:rPr>
        <w:t xml:space="preserve">Α. </w:t>
      </w:r>
      <w:r w:rsidR="00AB3A5A" w:rsidRPr="00AB3A5A">
        <w:rPr>
          <w:rFonts w:ascii="Bookman Old Style" w:hAnsi="Bookman Old Style"/>
          <w:b/>
          <w:sz w:val="24"/>
          <w:szCs w:val="24"/>
          <w:lang w:val="el-GR"/>
        </w:rPr>
        <w:t xml:space="preserve">Το προδικαστικό ερώτημα: Η σύμφωνη με το </w:t>
      </w:r>
      <w:r w:rsidR="00710CB2">
        <w:rPr>
          <w:rFonts w:ascii="Bookman Old Style" w:hAnsi="Bookman Old Style"/>
          <w:b/>
          <w:sz w:val="24"/>
          <w:szCs w:val="24"/>
          <w:lang w:val="el-GR"/>
        </w:rPr>
        <w:t>Ε</w:t>
      </w:r>
      <w:r w:rsidR="00AB3A5A" w:rsidRPr="00AB3A5A">
        <w:rPr>
          <w:rFonts w:ascii="Bookman Old Style" w:hAnsi="Bookman Old Style"/>
          <w:b/>
          <w:sz w:val="24"/>
          <w:szCs w:val="24"/>
          <w:lang w:val="el-GR"/>
        </w:rPr>
        <w:t xml:space="preserve">υρωπαϊκό </w:t>
      </w:r>
      <w:r w:rsidR="00710CB2">
        <w:rPr>
          <w:rFonts w:ascii="Bookman Old Style" w:hAnsi="Bookman Old Style"/>
          <w:b/>
          <w:sz w:val="24"/>
          <w:szCs w:val="24"/>
          <w:lang w:val="el-GR"/>
        </w:rPr>
        <w:t>Δ</w:t>
      </w:r>
      <w:r w:rsidR="00AB3A5A" w:rsidRPr="00AB3A5A">
        <w:rPr>
          <w:rFonts w:ascii="Bookman Old Style" w:hAnsi="Bookman Old Style"/>
          <w:b/>
          <w:sz w:val="24"/>
          <w:szCs w:val="24"/>
          <w:lang w:val="el-GR"/>
        </w:rPr>
        <w:t xml:space="preserve">ίκαιο ερμηνεία του προγράμματος </w:t>
      </w:r>
      <w:r w:rsidR="00710CB2">
        <w:rPr>
          <w:rFonts w:ascii="Bookman Old Style" w:hAnsi="Bookman Old Style"/>
          <w:b/>
          <w:sz w:val="24"/>
          <w:szCs w:val="24"/>
          <w:lang w:val="el-GR"/>
        </w:rPr>
        <w:t>«</w:t>
      </w:r>
      <w:r w:rsidR="00AB3A5A" w:rsidRPr="00AB3A5A">
        <w:rPr>
          <w:rFonts w:ascii="Bookman Old Style" w:hAnsi="Bookman Old Style"/>
          <w:b/>
          <w:sz w:val="24"/>
          <w:szCs w:val="24"/>
          <w:lang w:val="el-GR"/>
        </w:rPr>
        <w:t>ΟΜΤ</w:t>
      </w:r>
      <w:r w:rsidR="00710CB2">
        <w:rPr>
          <w:rFonts w:ascii="Bookman Old Style" w:hAnsi="Bookman Old Style"/>
          <w:b/>
          <w:sz w:val="24"/>
          <w:szCs w:val="24"/>
          <w:lang w:val="el-GR"/>
        </w:rPr>
        <w:t>»</w:t>
      </w:r>
      <w:r w:rsidR="00AB3A5A" w:rsidRPr="00AB3A5A">
        <w:rPr>
          <w:rFonts w:ascii="Bookman Old Style" w:hAnsi="Bookman Old Style"/>
          <w:b/>
          <w:sz w:val="24"/>
          <w:szCs w:val="24"/>
          <w:lang w:val="el-GR"/>
        </w:rPr>
        <w:t xml:space="preserve"> της ΕΚΤ</w:t>
      </w:r>
      <w:r>
        <w:rPr>
          <w:rFonts w:ascii="Bookman Old Style" w:hAnsi="Bookman Old Style"/>
          <w:b/>
          <w:sz w:val="24"/>
          <w:szCs w:val="24"/>
          <w:lang w:val="el-GR"/>
        </w:rPr>
        <w:t>.</w:t>
      </w:r>
      <w:r w:rsidR="00AB3A5A" w:rsidRPr="00AB3A5A">
        <w:rPr>
          <w:rFonts w:ascii="Bookman Old Style" w:hAnsi="Bookman Old Style"/>
          <w:b/>
          <w:sz w:val="24"/>
          <w:szCs w:val="24"/>
          <w:lang w:val="el-GR"/>
        </w:rPr>
        <w:t xml:space="preserve"> </w:t>
      </w:r>
    </w:p>
    <w:p w:rsidR="00AB3A5A" w:rsidRPr="00AB3A5A" w:rsidRDefault="00AB3A5A" w:rsidP="00303AFA">
      <w:pPr>
        <w:pStyle w:val="1"/>
        <w:spacing w:before="240" w:after="240" w:line="360" w:lineRule="auto"/>
        <w:ind w:left="360"/>
        <w:jc w:val="both"/>
        <w:rPr>
          <w:rFonts w:ascii="Bookman Old Style" w:hAnsi="Bookman Old Style"/>
          <w:sz w:val="24"/>
          <w:szCs w:val="24"/>
          <w:lang w:val="el-GR"/>
        </w:rPr>
      </w:pPr>
      <w:r w:rsidRPr="00AB3A5A">
        <w:rPr>
          <w:rFonts w:ascii="Bookman Old Style" w:hAnsi="Bookman Old Style"/>
          <w:sz w:val="24"/>
          <w:szCs w:val="24"/>
          <w:lang w:val="el-GR"/>
        </w:rPr>
        <w:t xml:space="preserve">Το ιστορικό της υποβολής του ως άνω προδικαστικού ερωτήματος </w:t>
      </w:r>
      <w:r w:rsidR="005610F3">
        <w:rPr>
          <w:rFonts w:ascii="Bookman Old Style" w:hAnsi="Bookman Old Style"/>
          <w:sz w:val="24"/>
          <w:szCs w:val="24"/>
          <w:lang w:val="el-GR"/>
        </w:rPr>
        <w:t>είχε</w:t>
      </w:r>
      <w:r w:rsidRPr="00AB3A5A">
        <w:rPr>
          <w:rFonts w:ascii="Bookman Old Style" w:hAnsi="Bookman Old Style"/>
          <w:sz w:val="24"/>
          <w:szCs w:val="24"/>
          <w:lang w:val="el-GR"/>
        </w:rPr>
        <w:t xml:space="preserve"> ως εξής:</w:t>
      </w:r>
    </w:p>
    <w:p w:rsidR="00AB3A5A" w:rsidRPr="00AB3A5A" w:rsidRDefault="005610F3" w:rsidP="00303AFA">
      <w:pPr>
        <w:spacing w:before="240" w:after="240" w:line="360" w:lineRule="auto"/>
        <w:ind w:left="567" w:hanging="283"/>
        <w:jc w:val="both"/>
        <w:rPr>
          <w:rFonts w:ascii="Bookman Old Style" w:hAnsi="Bookman Old Style"/>
          <w:b/>
          <w:i/>
          <w:sz w:val="24"/>
          <w:szCs w:val="24"/>
        </w:rPr>
      </w:pPr>
      <w:r>
        <w:rPr>
          <w:rFonts w:ascii="Bookman Old Style" w:hAnsi="Bookman Old Style"/>
          <w:b/>
          <w:sz w:val="24"/>
          <w:szCs w:val="24"/>
        </w:rPr>
        <w:t>1</w:t>
      </w:r>
      <w:r w:rsidR="00AB3A5A" w:rsidRPr="00AB3A5A">
        <w:rPr>
          <w:rFonts w:ascii="Bookman Old Style" w:hAnsi="Bookman Old Style"/>
          <w:b/>
          <w:sz w:val="24"/>
          <w:szCs w:val="24"/>
        </w:rPr>
        <w:t xml:space="preserve">. </w:t>
      </w:r>
      <w:r w:rsidR="00AB3A5A" w:rsidRPr="00AB3A5A">
        <w:rPr>
          <w:rFonts w:ascii="Bookman Old Style" w:hAnsi="Bookman Old Style"/>
          <w:b/>
          <w:i/>
          <w:sz w:val="24"/>
          <w:szCs w:val="24"/>
        </w:rPr>
        <w:t xml:space="preserve">Οι στόχοι του προγράμματος </w:t>
      </w:r>
      <w:r w:rsidR="00710CB2">
        <w:rPr>
          <w:rFonts w:ascii="Bookman Old Style" w:hAnsi="Bookman Old Style"/>
          <w:b/>
          <w:i/>
          <w:sz w:val="24"/>
          <w:szCs w:val="24"/>
        </w:rPr>
        <w:t>«</w:t>
      </w:r>
      <w:r w:rsidR="00AB3A5A" w:rsidRPr="00AB3A5A">
        <w:rPr>
          <w:rFonts w:ascii="Bookman Old Style" w:hAnsi="Bookman Old Style"/>
          <w:b/>
          <w:i/>
          <w:sz w:val="24"/>
          <w:szCs w:val="24"/>
        </w:rPr>
        <w:t>OMT</w:t>
      </w:r>
      <w:r w:rsidR="00710CB2">
        <w:rPr>
          <w:rFonts w:ascii="Bookman Old Style" w:hAnsi="Bookman Old Style"/>
          <w:b/>
          <w:i/>
          <w:sz w:val="24"/>
          <w:szCs w:val="24"/>
        </w:rPr>
        <w:t>»</w:t>
      </w:r>
      <w:r w:rsidR="00AB3A5A" w:rsidRPr="00AB3A5A">
        <w:rPr>
          <w:rFonts w:ascii="Bookman Old Style" w:hAnsi="Bookman Old Style"/>
          <w:b/>
          <w:i/>
          <w:sz w:val="24"/>
          <w:szCs w:val="24"/>
        </w:rPr>
        <w:t xml:space="preserve"> της ΕΚΤ</w:t>
      </w:r>
      <w:r w:rsidR="00710CB2">
        <w:rPr>
          <w:rFonts w:ascii="Bookman Old Style" w:hAnsi="Bookman Old Style"/>
          <w:b/>
          <w:i/>
          <w:sz w:val="24"/>
          <w:szCs w:val="24"/>
        </w:rPr>
        <w:t>.</w:t>
      </w:r>
    </w:p>
    <w:p w:rsidR="005610F3" w:rsidRDefault="00AB3A5A" w:rsidP="00303AFA">
      <w:pPr>
        <w:spacing w:before="240" w:after="240" w:line="360" w:lineRule="auto"/>
        <w:ind w:left="851"/>
        <w:jc w:val="both"/>
        <w:rPr>
          <w:rFonts w:ascii="Bookman Old Style" w:hAnsi="Bookman Old Style"/>
          <w:sz w:val="24"/>
          <w:szCs w:val="24"/>
        </w:rPr>
      </w:pPr>
      <w:r w:rsidRPr="00AB3A5A">
        <w:rPr>
          <w:rFonts w:ascii="Bookman Old Style" w:hAnsi="Bookman Old Style"/>
          <w:sz w:val="24"/>
          <w:szCs w:val="24"/>
        </w:rPr>
        <w:t xml:space="preserve">Κατά τους καλοκαιρινούς μήνες του έτους 2012 συνέτρεξε σειρά εξαιρετικών περιστάσεων στην οικονομία της </w:t>
      </w:r>
      <w:r w:rsidR="00710CB2">
        <w:rPr>
          <w:rFonts w:ascii="Bookman Old Style" w:hAnsi="Bookman Old Style"/>
          <w:sz w:val="24"/>
          <w:szCs w:val="24"/>
        </w:rPr>
        <w:t>Ευρωζώνης</w:t>
      </w:r>
      <w:r w:rsidRPr="00AB3A5A">
        <w:rPr>
          <w:rFonts w:ascii="Bookman Old Style" w:hAnsi="Bookman Old Style"/>
          <w:sz w:val="24"/>
          <w:szCs w:val="24"/>
        </w:rPr>
        <w:t xml:space="preserve">: Ιδιαιτέρως υψηλά ασφάλιστρα κινδύνου σε ομόλογα </w:t>
      </w:r>
      <w:r w:rsidR="00710CB2">
        <w:rPr>
          <w:rFonts w:ascii="Bookman Old Style" w:hAnsi="Bookman Old Style"/>
          <w:sz w:val="24"/>
          <w:szCs w:val="24"/>
        </w:rPr>
        <w:t>Κ</w:t>
      </w:r>
      <w:r w:rsidRPr="00AB3A5A">
        <w:rPr>
          <w:rFonts w:ascii="Bookman Old Style" w:hAnsi="Bookman Old Style"/>
          <w:sz w:val="24"/>
          <w:szCs w:val="24"/>
        </w:rPr>
        <w:t>ρατών-</w:t>
      </w:r>
      <w:r w:rsidR="00710CB2">
        <w:rPr>
          <w:rFonts w:ascii="Bookman Old Style" w:hAnsi="Bookman Old Style"/>
          <w:sz w:val="24"/>
          <w:szCs w:val="24"/>
        </w:rPr>
        <w:t>Μ</w:t>
      </w:r>
      <w:r w:rsidRPr="00AB3A5A">
        <w:rPr>
          <w:rFonts w:ascii="Bookman Old Style" w:hAnsi="Bookman Old Style"/>
          <w:sz w:val="24"/>
          <w:szCs w:val="24"/>
        </w:rPr>
        <w:t xml:space="preserve">ελών, έντονες διακυμάνσεις στις αγορές κρατικών ομολόγων, κατακερματισμός των πιστώσεων στην διατραπεζική αγορά και αύξηση του κόστους χρηματοδότησης των επιχειρήσεων συνεπεία των προηγουμένων. Στα περιστατικά αυτά άσκησε ιδιαίτερη επιρροή η ανησυχία των αγορών περί πιθανής αποσύνθεσης του ενιαίου νομίσματος, είτε λόγω της επιλεκτικής εξόδου ορισμένου ή ορισμένων </w:t>
      </w:r>
      <w:r w:rsidR="00E5266F">
        <w:rPr>
          <w:rFonts w:ascii="Bookman Old Style" w:hAnsi="Bookman Old Style"/>
          <w:sz w:val="24"/>
          <w:szCs w:val="24"/>
        </w:rPr>
        <w:t>Μ</w:t>
      </w:r>
      <w:r w:rsidRPr="00AB3A5A">
        <w:rPr>
          <w:rFonts w:ascii="Bookman Old Style" w:hAnsi="Bookman Old Style"/>
          <w:sz w:val="24"/>
          <w:szCs w:val="24"/>
        </w:rPr>
        <w:t xml:space="preserve">ελών </w:t>
      </w:r>
      <w:r w:rsidR="0035421B">
        <w:rPr>
          <w:rFonts w:ascii="Bookman Old Style" w:hAnsi="Bookman Old Style"/>
          <w:sz w:val="24"/>
          <w:szCs w:val="24"/>
        </w:rPr>
        <w:t>της Ευρωζώνης</w:t>
      </w:r>
      <w:r w:rsidRPr="00AB3A5A">
        <w:rPr>
          <w:rFonts w:ascii="Bookman Old Style" w:hAnsi="Bookman Old Style"/>
          <w:sz w:val="24"/>
          <w:szCs w:val="24"/>
        </w:rPr>
        <w:t xml:space="preserve"> είτε λόγω της κατ</w:t>
      </w:r>
      <w:r w:rsidR="00E5266F">
        <w:rPr>
          <w:rFonts w:ascii="Bookman Old Style" w:hAnsi="Bookman Old Style"/>
          <w:sz w:val="24"/>
          <w:szCs w:val="24"/>
        </w:rPr>
        <w:t>ά</w:t>
      </w:r>
      <w:r w:rsidRPr="00AB3A5A">
        <w:rPr>
          <w:rFonts w:ascii="Bookman Old Style" w:hAnsi="Bookman Old Style"/>
          <w:sz w:val="24"/>
          <w:szCs w:val="24"/>
        </w:rPr>
        <w:t>ργ</w:t>
      </w:r>
      <w:r w:rsidR="00E5266F">
        <w:rPr>
          <w:rFonts w:ascii="Bookman Old Style" w:hAnsi="Bookman Old Style"/>
          <w:sz w:val="24"/>
          <w:szCs w:val="24"/>
        </w:rPr>
        <w:t>η</w:t>
      </w:r>
      <w:r w:rsidRPr="00AB3A5A">
        <w:rPr>
          <w:rFonts w:ascii="Bookman Old Style" w:hAnsi="Bookman Old Style"/>
          <w:sz w:val="24"/>
          <w:szCs w:val="24"/>
        </w:rPr>
        <w:t xml:space="preserve">σής του και επιστροφής στα </w:t>
      </w:r>
      <w:r w:rsidR="00A827A6">
        <w:rPr>
          <w:rFonts w:ascii="Bookman Old Style" w:hAnsi="Bookman Old Style"/>
          <w:sz w:val="24"/>
          <w:szCs w:val="24"/>
        </w:rPr>
        <w:t>Ε</w:t>
      </w:r>
      <w:r w:rsidRPr="00AB3A5A">
        <w:rPr>
          <w:rFonts w:ascii="Bookman Old Style" w:hAnsi="Bookman Old Style"/>
          <w:sz w:val="24"/>
          <w:szCs w:val="24"/>
        </w:rPr>
        <w:t xml:space="preserve">θνικά νομίσματα.  Σύμφωνα με την ΕΚΤ, οι προπαρατεθείσες περιστάσεις επηρέασαν τα συμβατικά μέσα νομισματικής πολιτικής. Τα επιτόκια των κρατικών ομολόγων δεν καθορίζονταν σύμφωνα με την ποιότητα των εκδιδόμενων τίτλων, αλλά σε συνάρτηση με την κατάσταση υπό την οποία τελούσε ο οφειλέτης. Η γεωγραφική κατάτμηση των επιτοκίων στα εκδοθέντα από </w:t>
      </w:r>
      <w:r w:rsidR="00A827A6">
        <w:rPr>
          <w:rFonts w:ascii="Bookman Old Style" w:hAnsi="Bookman Old Style"/>
          <w:sz w:val="24"/>
          <w:szCs w:val="24"/>
        </w:rPr>
        <w:t>Κ</w:t>
      </w:r>
      <w:r w:rsidRPr="00AB3A5A">
        <w:rPr>
          <w:rFonts w:ascii="Bookman Old Style" w:hAnsi="Bookman Old Style"/>
          <w:sz w:val="24"/>
          <w:szCs w:val="24"/>
        </w:rPr>
        <w:t xml:space="preserve">ράτη </w:t>
      </w:r>
      <w:r w:rsidR="00A827A6">
        <w:rPr>
          <w:rFonts w:ascii="Bookman Old Style" w:hAnsi="Bookman Old Style"/>
          <w:sz w:val="24"/>
          <w:szCs w:val="24"/>
        </w:rPr>
        <w:t>της Ευρωζώνης</w:t>
      </w:r>
      <w:r w:rsidRPr="00AB3A5A">
        <w:rPr>
          <w:rFonts w:ascii="Bookman Old Style" w:hAnsi="Bookman Old Style"/>
          <w:sz w:val="24"/>
          <w:szCs w:val="24"/>
        </w:rPr>
        <w:t xml:space="preserve"> ομόλογα, σε ορισμένες περιπτώσεις υπό όρους που δεν τελούσαν σε συνάρτηση με τα μακροοικονομικά δεδομένα των οικείων </w:t>
      </w:r>
      <w:r w:rsidR="00A827A6">
        <w:rPr>
          <w:rFonts w:ascii="Bookman Old Style" w:hAnsi="Bookman Old Style"/>
          <w:sz w:val="24"/>
          <w:szCs w:val="24"/>
        </w:rPr>
        <w:t>Κ</w:t>
      </w:r>
      <w:r w:rsidRPr="00AB3A5A">
        <w:rPr>
          <w:rFonts w:ascii="Bookman Old Style" w:hAnsi="Bookman Old Style"/>
          <w:sz w:val="24"/>
          <w:szCs w:val="24"/>
        </w:rPr>
        <w:t>ρατών, αποτελούσε, κατά την ΕΚΤ, σημαντικό εμπόδιο στην άσκηση νομισματικής πολιτικής από το εν λόγω θεσμικό όργανο, η οποία βασιζόταν στην χρήση διάφορων μέσων ή διαύλων μετάδοσης της νομισματικής πολιτικής. Η ΕΚΤ, λόγω των προμνησθεισών συνθηκών, έχασε σημαντικό τμήμα του περιθωρίου</w:t>
      </w:r>
      <w:r w:rsidR="00A827A6">
        <w:rPr>
          <w:rFonts w:ascii="Bookman Old Style" w:hAnsi="Bookman Old Style"/>
          <w:sz w:val="24"/>
          <w:szCs w:val="24"/>
        </w:rPr>
        <w:t>,</w:t>
      </w:r>
      <w:r w:rsidRPr="00AB3A5A">
        <w:rPr>
          <w:rFonts w:ascii="Bookman Old Style" w:hAnsi="Bookman Old Style"/>
          <w:sz w:val="24"/>
          <w:szCs w:val="24"/>
        </w:rPr>
        <w:t xml:space="preserve"> το οποίο διαθέτει προς εκπλήρωση της αποστολής που </w:t>
      </w:r>
      <w:r w:rsidRPr="00AB3A5A">
        <w:rPr>
          <w:rFonts w:ascii="Bookman Old Style" w:hAnsi="Bookman Old Style"/>
          <w:sz w:val="24"/>
          <w:szCs w:val="24"/>
        </w:rPr>
        <w:lastRenderedPageBreak/>
        <w:t xml:space="preserve">της αναθέτουν οι Συνθήκες, όταν η αγορά κρατικών ομολόγων, εκ των βασικών διαύλων μετάδοσης της νομισματικής πολιτικής, διαταράχθηκε κατά τρόπο </w:t>
      </w:r>
      <w:r w:rsidR="00A827A6">
        <w:rPr>
          <w:rFonts w:ascii="Bookman Old Style" w:hAnsi="Bookman Old Style"/>
          <w:sz w:val="24"/>
          <w:szCs w:val="24"/>
        </w:rPr>
        <w:t>πολύ</w:t>
      </w:r>
      <w:r w:rsidRPr="00AB3A5A">
        <w:rPr>
          <w:rFonts w:ascii="Bookman Old Style" w:hAnsi="Bookman Old Style"/>
          <w:sz w:val="24"/>
          <w:szCs w:val="24"/>
        </w:rPr>
        <w:t xml:space="preserve"> σοβαρό. Λαμβανομένων υπόψη </w:t>
      </w:r>
      <w:r w:rsidR="00A827A6">
        <w:rPr>
          <w:rFonts w:ascii="Bookman Old Style" w:hAnsi="Bookman Old Style"/>
          <w:sz w:val="24"/>
          <w:szCs w:val="24"/>
        </w:rPr>
        <w:t xml:space="preserve">αυτών </w:t>
      </w:r>
      <w:r w:rsidRPr="00AB3A5A">
        <w:rPr>
          <w:rFonts w:ascii="Bookman Old Style" w:hAnsi="Bookman Old Style"/>
          <w:sz w:val="24"/>
          <w:szCs w:val="24"/>
        </w:rPr>
        <w:t xml:space="preserve">των πραγματικών περιστατικών, και σύμφωνα πάντοτε με την ΕΚΤ, το πρόγραμμα </w:t>
      </w:r>
      <w:r w:rsidR="00A827A6">
        <w:rPr>
          <w:rFonts w:ascii="Bookman Old Style" w:hAnsi="Bookman Old Style"/>
          <w:sz w:val="24"/>
          <w:szCs w:val="24"/>
        </w:rPr>
        <w:t>«</w:t>
      </w:r>
      <w:r w:rsidRPr="00AB3A5A">
        <w:rPr>
          <w:rFonts w:ascii="Bookman Old Style" w:hAnsi="Bookman Old Style"/>
          <w:sz w:val="24"/>
          <w:szCs w:val="24"/>
        </w:rPr>
        <w:t>OMT</w:t>
      </w:r>
      <w:r w:rsidR="00A827A6">
        <w:rPr>
          <w:rFonts w:ascii="Bookman Old Style" w:hAnsi="Bookman Old Style"/>
          <w:sz w:val="24"/>
          <w:szCs w:val="24"/>
        </w:rPr>
        <w:t>»</w:t>
      </w:r>
      <w:r w:rsidRPr="00AB3A5A">
        <w:rPr>
          <w:rFonts w:ascii="Bookman Old Style" w:hAnsi="Bookman Old Style"/>
          <w:sz w:val="24"/>
          <w:szCs w:val="24"/>
        </w:rPr>
        <w:t xml:space="preserve"> είχε διττό στόχο, έναν έμμεσο και έναν άμεσο: Πρώτον, επιδίωκε να μειωθούν τα επιτόκια των ομολόγων ορισμένου </w:t>
      </w:r>
      <w:r w:rsidR="00A827A6">
        <w:rPr>
          <w:rFonts w:ascii="Bookman Old Style" w:hAnsi="Bookman Old Style"/>
          <w:sz w:val="24"/>
          <w:szCs w:val="24"/>
        </w:rPr>
        <w:t>Κ</w:t>
      </w:r>
      <w:r w:rsidRPr="00AB3A5A">
        <w:rPr>
          <w:rFonts w:ascii="Bookman Old Style" w:hAnsi="Bookman Old Style"/>
          <w:sz w:val="24"/>
          <w:szCs w:val="24"/>
        </w:rPr>
        <w:t>ράτους-</w:t>
      </w:r>
      <w:r w:rsidR="00A827A6">
        <w:rPr>
          <w:rFonts w:ascii="Bookman Old Style" w:hAnsi="Bookman Old Style"/>
          <w:sz w:val="24"/>
          <w:szCs w:val="24"/>
        </w:rPr>
        <w:t>Μ</w:t>
      </w:r>
      <w:r w:rsidRPr="00AB3A5A">
        <w:rPr>
          <w:rFonts w:ascii="Bookman Old Style" w:hAnsi="Bookman Old Style"/>
          <w:sz w:val="24"/>
          <w:szCs w:val="24"/>
        </w:rPr>
        <w:t xml:space="preserve">έλους προκειμένου –και δεύτερον- να «ομαλοποιηθούν» οι αποκλίσεις μεταξύ επιτοκίων και ν’ αναταχθούν κατ’ αυτόν τον τρόπο τα μέσα νομισματικής πολιτικής </w:t>
      </w:r>
      <w:r w:rsidR="0035421B">
        <w:rPr>
          <w:rFonts w:ascii="Bookman Old Style" w:hAnsi="Bookman Old Style"/>
          <w:sz w:val="24"/>
          <w:szCs w:val="24"/>
        </w:rPr>
        <w:t>της ΕΚΤ.</w:t>
      </w:r>
    </w:p>
    <w:p w:rsidR="00AB3A5A" w:rsidRPr="005610F3" w:rsidRDefault="005610F3" w:rsidP="00303AFA">
      <w:pPr>
        <w:spacing w:before="240" w:after="240" w:line="360" w:lineRule="auto"/>
        <w:ind w:left="851"/>
        <w:jc w:val="both"/>
        <w:rPr>
          <w:rFonts w:ascii="Bookman Old Style" w:hAnsi="Bookman Old Style"/>
          <w:sz w:val="24"/>
          <w:szCs w:val="24"/>
        </w:rPr>
      </w:pPr>
      <w:r>
        <w:rPr>
          <w:rFonts w:ascii="Bookman Old Style" w:hAnsi="Bookman Old Style"/>
          <w:b/>
          <w:i/>
          <w:sz w:val="24"/>
          <w:szCs w:val="24"/>
        </w:rPr>
        <w:t>2</w:t>
      </w:r>
      <w:r w:rsidR="00AB3A5A" w:rsidRPr="00AB3A5A">
        <w:rPr>
          <w:rFonts w:ascii="Bookman Old Style" w:hAnsi="Bookman Old Style"/>
          <w:b/>
          <w:i/>
          <w:sz w:val="24"/>
          <w:szCs w:val="24"/>
        </w:rPr>
        <w:t xml:space="preserve">. Η ανακοίνωση του προγράμματος </w:t>
      </w:r>
      <w:r w:rsidR="00A827A6">
        <w:rPr>
          <w:rFonts w:ascii="Bookman Old Style" w:hAnsi="Bookman Old Style"/>
          <w:b/>
          <w:i/>
          <w:sz w:val="24"/>
          <w:szCs w:val="24"/>
        </w:rPr>
        <w:t>«</w:t>
      </w:r>
      <w:r w:rsidR="00AB3A5A" w:rsidRPr="00AB3A5A">
        <w:rPr>
          <w:rFonts w:ascii="Bookman Old Style" w:hAnsi="Bookman Old Style"/>
          <w:b/>
          <w:i/>
          <w:sz w:val="24"/>
          <w:szCs w:val="24"/>
        </w:rPr>
        <w:t>ΟΜΤ</w:t>
      </w:r>
      <w:r w:rsidR="00A827A6">
        <w:rPr>
          <w:rFonts w:ascii="Bookman Old Style" w:hAnsi="Bookman Old Style"/>
          <w:b/>
          <w:i/>
          <w:sz w:val="24"/>
          <w:szCs w:val="24"/>
        </w:rPr>
        <w:t>»</w:t>
      </w:r>
      <w:r w:rsidR="00AB3A5A" w:rsidRPr="00AB3A5A">
        <w:rPr>
          <w:rFonts w:ascii="Bookman Old Style" w:hAnsi="Bookman Old Style"/>
          <w:b/>
          <w:i/>
          <w:sz w:val="24"/>
          <w:szCs w:val="24"/>
        </w:rPr>
        <w:t xml:space="preserve"> από την ΕΚΤ</w:t>
      </w:r>
      <w:r w:rsidR="00A827A6">
        <w:rPr>
          <w:rFonts w:ascii="Bookman Old Style" w:hAnsi="Bookman Old Style"/>
          <w:b/>
          <w:i/>
          <w:sz w:val="24"/>
          <w:szCs w:val="24"/>
        </w:rPr>
        <w:t>.</w:t>
      </w:r>
    </w:p>
    <w:p w:rsidR="00AB3A5A" w:rsidRPr="00AB3A5A" w:rsidRDefault="00AB3A5A" w:rsidP="00303AFA">
      <w:pPr>
        <w:spacing w:before="240" w:after="240" w:line="360" w:lineRule="auto"/>
        <w:ind w:left="851"/>
        <w:jc w:val="both"/>
        <w:rPr>
          <w:rFonts w:ascii="Bookman Old Style" w:hAnsi="Bookman Old Style"/>
          <w:sz w:val="24"/>
          <w:szCs w:val="24"/>
        </w:rPr>
      </w:pPr>
      <w:r w:rsidRPr="00AB3A5A">
        <w:rPr>
          <w:rFonts w:ascii="Bookman Old Style" w:hAnsi="Bookman Old Style"/>
          <w:sz w:val="24"/>
          <w:szCs w:val="24"/>
        </w:rPr>
        <w:t xml:space="preserve">H ΕΚΤ, μετά το πέρας </w:t>
      </w:r>
      <w:r w:rsidR="0035421B">
        <w:rPr>
          <w:rFonts w:ascii="Bookman Old Style" w:hAnsi="Bookman Old Style"/>
          <w:sz w:val="24"/>
          <w:szCs w:val="24"/>
        </w:rPr>
        <w:t>συνεδρίασης</w:t>
      </w:r>
      <w:r w:rsidRPr="00AB3A5A">
        <w:rPr>
          <w:rFonts w:ascii="Bookman Old Style" w:hAnsi="Bookman Old Style"/>
          <w:sz w:val="24"/>
          <w:szCs w:val="24"/>
        </w:rPr>
        <w:t xml:space="preserve"> του Διοικητικού της Συμβουλίου που πραγματοποιήθηκε στις 5 και 6 Σεπτεμβρίου 2012</w:t>
      </w:r>
      <w:r w:rsidR="005610F3">
        <w:rPr>
          <w:rFonts w:ascii="Bookman Old Style" w:hAnsi="Bookman Old Style"/>
          <w:sz w:val="24"/>
          <w:szCs w:val="24"/>
        </w:rPr>
        <w:t>,</w:t>
      </w:r>
      <w:r w:rsidRPr="00AB3A5A">
        <w:rPr>
          <w:rFonts w:ascii="Bookman Old Style" w:hAnsi="Bookman Old Style"/>
          <w:sz w:val="24"/>
          <w:szCs w:val="24"/>
        </w:rPr>
        <w:t xml:space="preserve"> γνωστοποίησε</w:t>
      </w:r>
      <w:r w:rsidR="005610F3">
        <w:rPr>
          <w:rFonts w:ascii="Bookman Old Style" w:hAnsi="Bookman Old Style"/>
          <w:sz w:val="24"/>
          <w:szCs w:val="24"/>
        </w:rPr>
        <w:t>,</w:t>
      </w:r>
      <w:r w:rsidRPr="00AB3A5A">
        <w:rPr>
          <w:rFonts w:ascii="Bookman Old Style" w:hAnsi="Bookman Old Style"/>
          <w:sz w:val="24"/>
          <w:szCs w:val="24"/>
        </w:rPr>
        <w:t xml:space="preserve"> μέσω ανακοινωθέντος </w:t>
      </w:r>
      <w:r w:rsidR="0035421B">
        <w:rPr>
          <w:rFonts w:ascii="Bookman Old Style" w:hAnsi="Bookman Old Style"/>
          <w:sz w:val="24"/>
          <w:szCs w:val="24"/>
        </w:rPr>
        <w:t>Τ</w:t>
      </w:r>
      <w:r w:rsidRPr="00AB3A5A">
        <w:rPr>
          <w:rFonts w:ascii="Bookman Old Style" w:hAnsi="Bookman Old Style"/>
          <w:sz w:val="24"/>
          <w:szCs w:val="24"/>
        </w:rPr>
        <w:t xml:space="preserve">ύπου στις  6 Σεπτεμβρίου 2012, την απόφασή της για την εκπόνηση προγράμματος αγοράς κρατικών ομολόγων εκδοθέντων από τα </w:t>
      </w:r>
      <w:r w:rsidR="0035421B">
        <w:rPr>
          <w:rFonts w:ascii="Bookman Old Style" w:hAnsi="Bookman Old Style"/>
          <w:sz w:val="24"/>
          <w:szCs w:val="24"/>
        </w:rPr>
        <w:t>Κ</w:t>
      </w:r>
      <w:r w:rsidRPr="00AB3A5A">
        <w:rPr>
          <w:rFonts w:ascii="Bookman Old Style" w:hAnsi="Bookman Old Style"/>
          <w:sz w:val="24"/>
          <w:szCs w:val="24"/>
        </w:rPr>
        <w:t xml:space="preserve">ράτη </w:t>
      </w:r>
      <w:r w:rsidR="00A827A6">
        <w:rPr>
          <w:rFonts w:ascii="Bookman Old Style" w:hAnsi="Bookman Old Style"/>
          <w:sz w:val="24"/>
          <w:szCs w:val="24"/>
        </w:rPr>
        <w:t>της Ευρωζώνης</w:t>
      </w:r>
      <w:r w:rsidRPr="00AB3A5A">
        <w:rPr>
          <w:rFonts w:ascii="Bookman Old Style" w:hAnsi="Bookman Old Style"/>
          <w:sz w:val="24"/>
          <w:szCs w:val="24"/>
        </w:rPr>
        <w:t xml:space="preserve">, με την ονομασία, όπως ήδη τονίσθηκε, «Outright Monetary Transactions» («Οριστικές Νομισματικές Συναλλαγές»). Στο ανακοινωθέν </w:t>
      </w:r>
      <w:r w:rsidR="0035421B">
        <w:rPr>
          <w:rFonts w:ascii="Bookman Old Style" w:hAnsi="Bookman Old Style"/>
          <w:sz w:val="24"/>
          <w:szCs w:val="24"/>
        </w:rPr>
        <w:t>Τ</w:t>
      </w:r>
      <w:r w:rsidRPr="00AB3A5A">
        <w:rPr>
          <w:rFonts w:ascii="Bookman Old Style" w:hAnsi="Bookman Old Style"/>
          <w:sz w:val="24"/>
          <w:szCs w:val="24"/>
        </w:rPr>
        <w:t xml:space="preserve">ύπου παρουσιάζονταν τα βασικά τεχνικά χαρακτηριστικά του εν λόγω προγράμματος αγοράς ομολόγων. Συνοπτικά, η ΕΚΤ εξαρτούσε την εφαρμογή του προγράμματος από την προηγούμενη υπαγωγή του οικείου </w:t>
      </w:r>
      <w:r w:rsidR="00A827A6">
        <w:rPr>
          <w:rFonts w:ascii="Bookman Old Style" w:hAnsi="Bookman Old Style"/>
          <w:sz w:val="24"/>
          <w:szCs w:val="24"/>
        </w:rPr>
        <w:t>Κ</w:t>
      </w:r>
      <w:r w:rsidRPr="00AB3A5A">
        <w:rPr>
          <w:rFonts w:ascii="Bookman Old Style" w:hAnsi="Bookman Old Style"/>
          <w:sz w:val="24"/>
          <w:szCs w:val="24"/>
        </w:rPr>
        <w:t xml:space="preserve">ράτους ή </w:t>
      </w:r>
      <w:r w:rsidR="00A827A6">
        <w:rPr>
          <w:rFonts w:ascii="Bookman Old Style" w:hAnsi="Bookman Old Style"/>
          <w:sz w:val="24"/>
          <w:szCs w:val="24"/>
        </w:rPr>
        <w:t>Κ</w:t>
      </w:r>
      <w:r w:rsidRPr="00AB3A5A">
        <w:rPr>
          <w:rFonts w:ascii="Bookman Old Style" w:hAnsi="Bookman Old Style"/>
          <w:sz w:val="24"/>
          <w:szCs w:val="24"/>
        </w:rPr>
        <w:t>ρατών σε πρόγραμμα χρηματοδοτικής βοήθειας του Ευρωπαϊκού Ταμείου Χρηματοπιστωτικής Σταθερότητας ή του Ευρωπαϊκού Μηχανισμού Σταθερότητας, και εφόσον το εν λόγω πρόγραμμα προέβλεπε την δυνατότητα πραγματοποίησης αγορών στην πρωτογενή αγορά</w:t>
      </w:r>
      <w:r w:rsidR="00A827A6">
        <w:rPr>
          <w:rFonts w:ascii="Bookman Old Style" w:hAnsi="Bookman Old Style"/>
          <w:sz w:val="24"/>
          <w:szCs w:val="24"/>
        </w:rPr>
        <w:t>,</w:t>
      </w:r>
      <w:r w:rsidRPr="00AB3A5A">
        <w:rPr>
          <w:rFonts w:ascii="Bookman Old Style" w:hAnsi="Bookman Old Style"/>
          <w:sz w:val="24"/>
          <w:szCs w:val="24"/>
        </w:rPr>
        <w:t xml:space="preserve"> χωρίς να θεσπίζονται εκ των προτέρων ποσοτικοί περιορισμοί. Ταυτοχρόνως</w:t>
      </w:r>
      <w:r w:rsidR="00A827A6">
        <w:rPr>
          <w:rFonts w:ascii="Bookman Old Style" w:hAnsi="Bookman Old Style"/>
          <w:sz w:val="24"/>
          <w:szCs w:val="24"/>
        </w:rPr>
        <w:t>,</w:t>
      </w:r>
      <w:r w:rsidRPr="00AB3A5A">
        <w:rPr>
          <w:rFonts w:ascii="Bookman Old Style" w:hAnsi="Bookman Old Style"/>
          <w:sz w:val="24"/>
          <w:szCs w:val="24"/>
        </w:rPr>
        <w:t xml:space="preserve"> συμφωνήθηκε η ΕΚΤ να τυγχάνει ίσης μεταχείρισης («pari passu») με τους ιδιώτες πιστωτές. Επίσης, σύμφωνα με το ίδιο ανακοινωθέν, η ΕΚΤ θα εξέταζε  το ενδεχόμενο διενέργειας των συναλλαγών αυτών και  για </w:t>
      </w:r>
      <w:r w:rsidR="005610F3">
        <w:rPr>
          <w:rFonts w:ascii="Bookman Old Style" w:hAnsi="Bookman Old Style"/>
          <w:sz w:val="24"/>
          <w:szCs w:val="24"/>
        </w:rPr>
        <w:t>Κ</w:t>
      </w:r>
      <w:r w:rsidRPr="00AB3A5A">
        <w:rPr>
          <w:rFonts w:ascii="Bookman Old Style" w:hAnsi="Bookman Old Style"/>
          <w:sz w:val="24"/>
          <w:szCs w:val="24"/>
        </w:rPr>
        <w:t>ράτη-</w:t>
      </w:r>
      <w:r w:rsidR="005610F3">
        <w:rPr>
          <w:rFonts w:ascii="Bookman Old Style" w:hAnsi="Bookman Old Style"/>
          <w:sz w:val="24"/>
          <w:szCs w:val="24"/>
        </w:rPr>
        <w:t>Μ</w:t>
      </w:r>
      <w:r w:rsidRPr="00AB3A5A">
        <w:rPr>
          <w:rFonts w:ascii="Bookman Old Style" w:hAnsi="Bookman Old Style"/>
          <w:sz w:val="24"/>
          <w:szCs w:val="24"/>
        </w:rPr>
        <w:t>έλη</w:t>
      </w:r>
      <w:r w:rsidR="00697BF4">
        <w:rPr>
          <w:rFonts w:ascii="Bookman Old Style" w:hAnsi="Bookman Old Style"/>
          <w:sz w:val="24"/>
          <w:szCs w:val="24"/>
        </w:rPr>
        <w:t>,</w:t>
      </w:r>
      <w:r w:rsidRPr="00AB3A5A">
        <w:rPr>
          <w:rFonts w:ascii="Bookman Old Style" w:hAnsi="Bookman Old Style"/>
          <w:sz w:val="24"/>
          <w:szCs w:val="24"/>
        </w:rPr>
        <w:t xml:space="preserve"> τα οποία υπάγονται ήδη  σε πρόγραμμα μακροοικονομικής </w:t>
      </w:r>
      <w:r w:rsidRPr="00AB3A5A">
        <w:rPr>
          <w:rFonts w:ascii="Bookman Old Style" w:hAnsi="Bookman Old Style"/>
          <w:sz w:val="24"/>
          <w:szCs w:val="24"/>
        </w:rPr>
        <w:lastRenderedPageBreak/>
        <w:t xml:space="preserve">προσαρμογής, όταν αυτά </w:t>
      </w:r>
      <w:r w:rsidR="00A827A6">
        <w:rPr>
          <w:rFonts w:ascii="Bookman Old Style" w:hAnsi="Bookman Old Style"/>
          <w:sz w:val="24"/>
          <w:szCs w:val="24"/>
        </w:rPr>
        <w:t>θ’ άρχιζαν</w:t>
      </w:r>
      <w:r w:rsidRPr="00AB3A5A">
        <w:rPr>
          <w:rFonts w:ascii="Bookman Old Style" w:hAnsi="Bookman Old Style"/>
          <w:sz w:val="24"/>
          <w:szCs w:val="24"/>
        </w:rPr>
        <w:t xml:space="preserve"> ν</w:t>
      </w:r>
      <w:r w:rsidR="00A827A6">
        <w:rPr>
          <w:rFonts w:ascii="Bookman Old Style" w:hAnsi="Bookman Old Style"/>
          <w:sz w:val="24"/>
          <w:szCs w:val="24"/>
        </w:rPr>
        <w:t>’</w:t>
      </w:r>
      <w:r w:rsidRPr="00AB3A5A">
        <w:rPr>
          <w:rFonts w:ascii="Bookman Old Style" w:hAnsi="Bookman Old Style"/>
          <w:sz w:val="24"/>
          <w:szCs w:val="24"/>
        </w:rPr>
        <w:t xml:space="preserve"> ανακτούν πρόσβαση στις αγορές ομολόγων. </w:t>
      </w:r>
    </w:p>
    <w:p w:rsidR="00AB3A5A" w:rsidRPr="00AB3A5A" w:rsidRDefault="005610F3" w:rsidP="00303AFA">
      <w:pPr>
        <w:spacing w:before="240" w:after="240" w:line="360" w:lineRule="auto"/>
        <w:ind w:left="851" w:hanging="284"/>
        <w:jc w:val="both"/>
        <w:rPr>
          <w:rFonts w:ascii="Bookman Old Style" w:hAnsi="Bookman Old Style"/>
          <w:b/>
          <w:i/>
          <w:sz w:val="24"/>
          <w:szCs w:val="24"/>
        </w:rPr>
      </w:pPr>
      <w:r>
        <w:rPr>
          <w:rFonts w:ascii="Bookman Old Style" w:hAnsi="Bookman Old Style"/>
          <w:b/>
          <w:i/>
          <w:sz w:val="24"/>
          <w:szCs w:val="24"/>
        </w:rPr>
        <w:t>3</w:t>
      </w:r>
      <w:r w:rsidR="00AB3A5A" w:rsidRPr="00AB3A5A">
        <w:rPr>
          <w:rFonts w:ascii="Bookman Old Style" w:hAnsi="Bookman Old Style"/>
          <w:b/>
          <w:i/>
          <w:sz w:val="24"/>
          <w:szCs w:val="24"/>
        </w:rPr>
        <w:t xml:space="preserve">. Οι συνταγματικές προσφυγές ενώπιον του </w:t>
      </w:r>
      <w:r>
        <w:rPr>
          <w:rFonts w:ascii="Bookman Old Style" w:hAnsi="Bookman Old Style"/>
          <w:b/>
          <w:i/>
          <w:sz w:val="24"/>
          <w:szCs w:val="24"/>
        </w:rPr>
        <w:t>Ομοσπονδιακού Συνταγματικού Δικαστηρίου της Γερμανίας</w:t>
      </w:r>
      <w:r w:rsidR="00AB3A5A" w:rsidRPr="00AB3A5A">
        <w:rPr>
          <w:rFonts w:ascii="Bookman Old Style" w:hAnsi="Bookman Old Style"/>
          <w:b/>
          <w:i/>
          <w:sz w:val="24"/>
          <w:szCs w:val="24"/>
        </w:rPr>
        <w:t xml:space="preserve"> και οι λόγοι των προσφυγών</w:t>
      </w:r>
      <w:r>
        <w:rPr>
          <w:rFonts w:ascii="Bookman Old Style" w:hAnsi="Bookman Old Style"/>
          <w:b/>
          <w:i/>
          <w:sz w:val="24"/>
          <w:szCs w:val="24"/>
        </w:rPr>
        <w:t>.</w:t>
      </w:r>
    </w:p>
    <w:p w:rsidR="00AB3A5A" w:rsidRPr="00AB3A5A" w:rsidRDefault="00AB3A5A" w:rsidP="00303AFA">
      <w:pPr>
        <w:spacing w:before="240" w:after="240" w:line="360" w:lineRule="auto"/>
        <w:ind w:left="851"/>
        <w:jc w:val="both"/>
        <w:rPr>
          <w:rFonts w:ascii="Bookman Old Style" w:hAnsi="Bookman Old Style"/>
          <w:sz w:val="24"/>
          <w:szCs w:val="24"/>
        </w:rPr>
      </w:pPr>
      <w:r w:rsidRPr="00AB3A5A">
        <w:rPr>
          <w:rFonts w:ascii="Bookman Old Style" w:hAnsi="Bookman Old Style"/>
          <w:sz w:val="24"/>
          <w:szCs w:val="24"/>
        </w:rPr>
        <w:t>Το πλαίσιο της διαφοράς</w:t>
      </w:r>
      <w:r w:rsidR="00A827A6">
        <w:rPr>
          <w:rFonts w:ascii="Bookman Old Style" w:hAnsi="Bookman Old Style"/>
          <w:sz w:val="24"/>
          <w:szCs w:val="24"/>
        </w:rPr>
        <w:t>,</w:t>
      </w:r>
      <w:r w:rsidRPr="00AB3A5A">
        <w:rPr>
          <w:rFonts w:ascii="Bookman Old Style" w:hAnsi="Bookman Old Style"/>
          <w:sz w:val="24"/>
          <w:szCs w:val="24"/>
        </w:rPr>
        <w:t xml:space="preserve"> που οδηγήθηκε ενώπιον του </w:t>
      </w:r>
      <w:r w:rsidR="005610F3">
        <w:rPr>
          <w:rFonts w:ascii="Bookman Old Style" w:hAnsi="Bookman Old Style"/>
          <w:sz w:val="24"/>
          <w:szCs w:val="24"/>
        </w:rPr>
        <w:t>Ομοσπονδιακού Συνταγματικού Δικαστηρίου της Γερμανίας</w:t>
      </w:r>
      <w:r w:rsidR="00A827A6">
        <w:rPr>
          <w:rFonts w:ascii="Bookman Old Style" w:hAnsi="Bookman Old Style"/>
          <w:sz w:val="24"/>
          <w:szCs w:val="24"/>
        </w:rPr>
        <w:t>,</w:t>
      </w:r>
      <w:r w:rsidR="005610F3">
        <w:rPr>
          <w:rFonts w:ascii="Bookman Old Style" w:hAnsi="Bookman Old Style"/>
          <w:sz w:val="24"/>
          <w:szCs w:val="24"/>
        </w:rPr>
        <w:t xml:space="preserve"> </w:t>
      </w:r>
      <w:r w:rsidRPr="00AB3A5A">
        <w:rPr>
          <w:rFonts w:ascii="Bookman Old Style" w:hAnsi="Bookman Old Style"/>
          <w:sz w:val="24"/>
          <w:szCs w:val="24"/>
        </w:rPr>
        <w:t>διαμορφώθηκε ως ακολούθως:</w:t>
      </w:r>
    </w:p>
    <w:p w:rsidR="005610F3" w:rsidRDefault="005610F3" w:rsidP="00303AFA">
      <w:pPr>
        <w:pStyle w:val="1"/>
        <w:spacing w:before="240" w:after="240" w:line="360" w:lineRule="auto"/>
        <w:ind w:left="1134" w:hanging="283"/>
        <w:jc w:val="both"/>
        <w:rPr>
          <w:rFonts w:ascii="Bookman Old Style" w:hAnsi="Bookman Old Style"/>
          <w:sz w:val="24"/>
          <w:szCs w:val="24"/>
          <w:lang w:val="el-GR"/>
        </w:rPr>
      </w:pPr>
      <w:r w:rsidRPr="005610F3">
        <w:rPr>
          <w:rFonts w:ascii="Bookman Old Style" w:hAnsi="Bookman Old Style"/>
          <w:b/>
          <w:sz w:val="24"/>
          <w:szCs w:val="24"/>
          <w:lang w:val="el-GR"/>
        </w:rPr>
        <w:t>α)</w:t>
      </w:r>
      <w:r>
        <w:rPr>
          <w:rFonts w:ascii="Bookman Old Style" w:hAnsi="Bookman Old Style"/>
          <w:sz w:val="24"/>
          <w:szCs w:val="24"/>
          <w:lang w:val="el-GR"/>
        </w:rPr>
        <w:t xml:space="preserve"> </w:t>
      </w:r>
      <w:r w:rsidR="00AB3A5A" w:rsidRPr="00AB3A5A">
        <w:rPr>
          <w:rFonts w:ascii="Bookman Old Style" w:hAnsi="Bookman Old Style"/>
          <w:sz w:val="24"/>
          <w:szCs w:val="24"/>
          <w:lang w:val="el-GR"/>
        </w:rPr>
        <w:t xml:space="preserve">Γερμανοί πολίτες άσκησαν ενώπιον του </w:t>
      </w:r>
      <w:r>
        <w:rPr>
          <w:rFonts w:ascii="Bookman Old Style" w:hAnsi="Bookman Old Style"/>
          <w:sz w:val="24"/>
          <w:szCs w:val="24"/>
          <w:lang w:val="el-GR"/>
        </w:rPr>
        <w:t xml:space="preserve">Ομοσπονδιακού Συνταγματικού Δικαστηρίου της Γερμανίας </w:t>
      </w:r>
      <w:r w:rsidR="00AB3A5A" w:rsidRPr="00AB3A5A">
        <w:rPr>
          <w:rFonts w:ascii="Bookman Old Style" w:hAnsi="Bookman Old Style"/>
          <w:sz w:val="24"/>
          <w:szCs w:val="24"/>
          <w:lang w:val="el-GR"/>
        </w:rPr>
        <w:t>προσφυγή για την προστασία των θεμελιωδών δικαιωμάτων τους, προβάλ</w:t>
      </w:r>
      <w:r w:rsidR="008765B5">
        <w:rPr>
          <w:rFonts w:ascii="Bookman Old Style" w:hAnsi="Bookman Old Style"/>
          <w:sz w:val="24"/>
          <w:szCs w:val="24"/>
          <w:lang w:val="el-GR"/>
        </w:rPr>
        <w:t>λ</w:t>
      </w:r>
      <w:r w:rsidR="00AB3A5A" w:rsidRPr="00AB3A5A">
        <w:rPr>
          <w:rFonts w:ascii="Bookman Old Style" w:hAnsi="Bookman Old Style"/>
          <w:sz w:val="24"/>
          <w:szCs w:val="24"/>
          <w:lang w:val="el-GR"/>
        </w:rPr>
        <w:t xml:space="preserve">οντας ως λόγο την παράλειψη της Γερμανικής Ομοσπονδιακής Κυβέρνησης ν’ ασκήσει προσφυγή ακύρωσης ενώπιον του Δικαστηρίου κατά της ανακοίνωσης </w:t>
      </w:r>
      <w:r w:rsidR="0035421B">
        <w:rPr>
          <w:rFonts w:ascii="Bookman Old Style" w:hAnsi="Bookman Old Style"/>
          <w:sz w:val="24"/>
          <w:szCs w:val="24"/>
          <w:lang w:val="el-GR"/>
        </w:rPr>
        <w:t>της ΕΚΤ της</w:t>
      </w:r>
      <w:r w:rsidR="00AB3A5A" w:rsidRPr="00AB3A5A">
        <w:rPr>
          <w:rFonts w:ascii="Bookman Old Style" w:hAnsi="Bookman Old Style"/>
          <w:sz w:val="24"/>
          <w:szCs w:val="24"/>
          <w:lang w:val="el-GR"/>
        </w:rPr>
        <w:t xml:space="preserve"> 6ης Σεπτεμβρίου 2012 σχετικά με το πρόγραμμα </w:t>
      </w:r>
      <w:r w:rsidR="00A827A6">
        <w:rPr>
          <w:rFonts w:ascii="Bookman Old Style" w:hAnsi="Bookman Old Style"/>
          <w:sz w:val="24"/>
          <w:szCs w:val="24"/>
          <w:lang w:val="el-GR"/>
        </w:rPr>
        <w:t>«</w:t>
      </w:r>
      <w:r w:rsidR="00AB3A5A" w:rsidRPr="00AB3A5A">
        <w:rPr>
          <w:rFonts w:ascii="Bookman Old Style" w:hAnsi="Bookman Old Style"/>
          <w:sz w:val="24"/>
          <w:szCs w:val="24"/>
          <w:lang w:val="el-GR"/>
        </w:rPr>
        <w:t>OMT</w:t>
      </w:r>
      <w:r w:rsidR="00A827A6">
        <w:rPr>
          <w:rFonts w:ascii="Bookman Old Style" w:hAnsi="Bookman Old Style"/>
          <w:sz w:val="24"/>
          <w:szCs w:val="24"/>
          <w:lang w:val="el-GR"/>
        </w:rPr>
        <w:t>»</w:t>
      </w:r>
      <w:r w:rsidR="00AB3A5A" w:rsidRPr="00AB3A5A">
        <w:rPr>
          <w:rFonts w:ascii="Bookman Old Style" w:hAnsi="Bookman Old Style"/>
          <w:sz w:val="24"/>
          <w:szCs w:val="24"/>
          <w:lang w:val="el-GR"/>
        </w:rPr>
        <w:t xml:space="preserve">. Επιπλέον, το πολιτικό κόμμα «Die Linke», με κοινοβουλευτική εκπροσώπηση στην Γερμανική Ομοσπονδιακή Βουλή, άσκησε ενώπιον του </w:t>
      </w:r>
      <w:r w:rsidR="00695D4B">
        <w:rPr>
          <w:rFonts w:ascii="Bookman Old Style" w:hAnsi="Bookman Old Style"/>
          <w:sz w:val="24"/>
          <w:szCs w:val="24"/>
          <w:lang w:val="el-GR"/>
        </w:rPr>
        <w:t>Ομοσπονδιακ</w:t>
      </w:r>
      <w:r w:rsidR="00A827A6">
        <w:rPr>
          <w:rFonts w:ascii="Bookman Old Style" w:hAnsi="Bookman Old Style"/>
          <w:sz w:val="24"/>
          <w:szCs w:val="24"/>
          <w:lang w:val="el-GR"/>
        </w:rPr>
        <w:t>ού</w:t>
      </w:r>
      <w:r w:rsidR="00695D4B">
        <w:rPr>
          <w:rFonts w:ascii="Bookman Old Style" w:hAnsi="Bookman Old Style"/>
          <w:sz w:val="24"/>
          <w:szCs w:val="24"/>
          <w:lang w:val="el-GR"/>
        </w:rPr>
        <w:t xml:space="preserve"> Συνταγματικ</w:t>
      </w:r>
      <w:r w:rsidR="00A827A6">
        <w:rPr>
          <w:rFonts w:ascii="Bookman Old Style" w:hAnsi="Bookman Old Style"/>
          <w:sz w:val="24"/>
          <w:szCs w:val="24"/>
          <w:lang w:val="el-GR"/>
        </w:rPr>
        <w:t>ού</w:t>
      </w:r>
      <w:r w:rsidR="00695D4B">
        <w:rPr>
          <w:rFonts w:ascii="Bookman Old Style" w:hAnsi="Bookman Old Style"/>
          <w:sz w:val="24"/>
          <w:szCs w:val="24"/>
          <w:lang w:val="el-GR"/>
        </w:rPr>
        <w:t xml:space="preserve"> Δικαστ</w:t>
      </w:r>
      <w:r w:rsidR="00A827A6">
        <w:rPr>
          <w:rFonts w:ascii="Bookman Old Style" w:hAnsi="Bookman Old Style"/>
          <w:sz w:val="24"/>
          <w:szCs w:val="24"/>
          <w:lang w:val="el-GR"/>
        </w:rPr>
        <w:t>ηρίου</w:t>
      </w:r>
      <w:r w:rsidR="00695D4B">
        <w:rPr>
          <w:rFonts w:ascii="Bookman Old Style" w:hAnsi="Bookman Old Style"/>
          <w:sz w:val="24"/>
          <w:szCs w:val="24"/>
          <w:lang w:val="el-GR"/>
        </w:rPr>
        <w:t xml:space="preserve"> της Γερμανίας</w:t>
      </w:r>
      <w:r w:rsidR="00AB3A5A" w:rsidRPr="00AB3A5A">
        <w:rPr>
          <w:rFonts w:ascii="Bookman Old Style" w:hAnsi="Bookman Old Style"/>
          <w:sz w:val="24"/>
          <w:szCs w:val="24"/>
          <w:lang w:val="el-GR"/>
        </w:rPr>
        <w:t xml:space="preserve"> αίτηση κίνησης της διαδικασίας διευθέτησης διαφορών μεταξύ συνταγματικώς προβλεπόμενων οργάνων της </w:t>
      </w:r>
      <w:r w:rsidR="0035421B">
        <w:rPr>
          <w:rFonts w:ascii="Bookman Old Style" w:hAnsi="Bookman Old Style"/>
          <w:sz w:val="24"/>
          <w:szCs w:val="24"/>
          <w:lang w:val="el-GR"/>
        </w:rPr>
        <w:t>Π</w:t>
      </w:r>
      <w:r w:rsidR="00AB3A5A" w:rsidRPr="00AB3A5A">
        <w:rPr>
          <w:rFonts w:ascii="Bookman Old Style" w:hAnsi="Bookman Old Style"/>
          <w:sz w:val="24"/>
          <w:szCs w:val="24"/>
          <w:lang w:val="el-GR"/>
        </w:rPr>
        <w:t xml:space="preserve">ολιτείας, προκειμένου η Γερμανική Ομοσπονδιακή Βουλή να προωθήσει την κατάργηση του προγράμματος </w:t>
      </w:r>
      <w:r w:rsidR="00A827A6">
        <w:rPr>
          <w:rFonts w:ascii="Bookman Old Style" w:hAnsi="Bookman Old Style"/>
          <w:sz w:val="24"/>
          <w:szCs w:val="24"/>
          <w:lang w:val="el-GR"/>
        </w:rPr>
        <w:t>«</w:t>
      </w:r>
      <w:r w:rsidR="00AB3A5A" w:rsidRPr="00AB3A5A">
        <w:rPr>
          <w:rFonts w:ascii="Bookman Old Style" w:hAnsi="Bookman Old Style"/>
          <w:sz w:val="24"/>
          <w:szCs w:val="24"/>
          <w:lang w:val="el-GR"/>
        </w:rPr>
        <w:t>OMT</w:t>
      </w:r>
      <w:r w:rsidR="00A827A6">
        <w:rPr>
          <w:rFonts w:ascii="Bookman Old Style" w:hAnsi="Bookman Old Style"/>
          <w:sz w:val="24"/>
          <w:szCs w:val="24"/>
          <w:lang w:val="el-GR"/>
        </w:rPr>
        <w:t>»</w:t>
      </w:r>
      <w:r w:rsidR="00AB3A5A" w:rsidRPr="00AB3A5A">
        <w:rPr>
          <w:rFonts w:ascii="Bookman Old Style" w:hAnsi="Bookman Old Style"/>
          <w:sz w:val="24"/>
          <w:szCs w:val="24"/>
          <w:lang w:val="el-GR"/>
        </w:rPr>
        <w:t xml:space="preserve"> που ανακοινώθηκε από την ΕΚΤ στις 6 Σεπτεμβρίου 2012.</w:t>
      </w:r>
    </w:p>
    <w:p w:rsidR="00315C75" w:rsidRDefault="005610F3" w:rsidP="00303AFA">
      <w:pPr>
        <w:pStyle w:val="1"/>
        <w:spacing w:before="240" w:after="240" w:line="360" w:lineRule="auto"/>
        <w:ind w:left="1134" w:hanging="283"/>
        <w:jc w:val="both"/>
        <w:rPr>
          <w:rFonts w:ascii="Bookman Old Style" w:hAnsi="Bookman Old Style"/>
          <w:sz w:val="24"/>
          <w:szCs w:val="24"/>
          <w:lang w:val="el-GR"/>
        </w:rPr>
      </w:pPr>
      <w:r w:rsidRPr="005610F3">
        <w:rPr>
          <w:rFonts w:ascii="Bookman Old Style" w:hAnsi="Bookman Old Style"/>
          <w:b/>
          <w:sz w:val="24"/>
          <w:szCs w:val="24"/>
          <w:lang w:val="el-GR"/>
        </w:rPr>
        <w:t>β)</w:t>
      </w:r>
      <w:r>
        <w:rPr>
          <w:rFonts w:ascii="Bookman Old Style" w:hAnsi="Bookman Old Style"/>
          <w:sz w:val="24"/>
          <w:szCs w:val="24"/>
          <w:lang w:val="el-GR"/>
        </w:rPr>
        <w:t xml:space="preserve"> </w:t>
      </w:r>
      <w:r w:rsidR="00AB3A5A" w:rsidRPr="00AB3A5A">
        <w:rPr>
          <w:rFonts w:ascii="Bookman Old Style" w:hAnsi="Bookman Old Style"/>
          <w:sz w:val="24"/>
          <w:szCs w:val="24"/>
          <w:lang w:val="el-GR"/>
        </w:rPr>
        <w:t xml:space="preserve">Με τις προσφυγές αυτές προεβλήθη ότι στόχος της ΕΚΤ δεν ήταν η αποκατάσταση των διαύλων μετάδοσης της νομισματικής πολιτικής, αλλά «η διάσωση του ενιαίου νομίσματος» μέσω του μετασχηματισμού της ΕΚΤ σ’ έσχατο δανειστή των </w:t>
      </w:r>
      <w:r>
        <w:rPr>
          <w:rFonts w:ascii="Bookman Old Style" w:hAnsi="Bookman Old Style"/>
          <w:sz w:val="24"/>
          <w:szCs w:val="24"/>
          <w:lang w:val="el-GR"/>
        </w:rPr>
        <w:t>Κ</w:t>
      </w:r>
      <w:r w:rsidR="00AB3A5A" w:rsidRPr="00AB3A5A">
        <w:rPr>
          <w:rFonts w:ascii="Bookman Old Style" w:hAnsi="Bookman Old Style"/>
          <w:sz w:val="24"/>
          <w:szCs w:val="24"/>
          <w:lang w:val="el-GR"/>
        </w:rPr>
        <w:t>ρατών-</w:t>
      </w:r>
      <w:r>
        <w:rPr>
          <w:rFonts w:ascii="Bookman Old Style" w:hAnsi="Bookman Old Style"/>
          <w:sz w:val="24"/>
          <w:szCs w:val="24"/>
          <w:lang w:val="el-GR"/>
        </w:rPr>
        <w:t>Μ</w:t>
      </w:r>
      <w:r w:rsidR="00AB3A5A" w:rsidRPr="00AB3A5A">
        <w:rPr>
          <w:rFonts w:ascii="Bookman Old Style" w:hAnsi="Bookman Old Style"/>
          <w:sz w:val="24"/>
          <w:szCs w:val="24"/>
          <w:lang w:val="el-GR"/>
        </w:rPr>
        <w:t xml:space="preserve">ελών, αναπληρώνοντας κατ’ αυτόν τον τρόπο ορισμένες από τις αδυναμίες που ενυπάρχουν στον σχεδιασμό της </w:t>
      </w:r>
      <w:r w:rsidR="00A827A6">
        <w:rPr>
          <w:rFonts w:ascii="Bookman Old Style" w:hAnsi="Bookman Old Style"/>
          <w:sz w:val="24"/>
          <w:szCs w:val="24"/>
          <w:lang w:val="el-GR"/>
        </w:rPr>
        <w:t>Ν</w:t>
      </w:r>
      <w:r w:rsidR="00AB3A5A" w:rsidRPr="00AB3A5A">
        <w:rPr>
          <w:rFonts w:ascii="Bookman Old Style" w:hAnsi="Bookman Old Style"/>
          <w:sz w:val="24"/>
          <w:szCs w:val="24"/>
          <w:lang w:val="el-GR"/>
        </w:rPr>
        <w:t xml:space="preserve">ομισματικής Ένωσης. Ο πραγματικός στόχος λοιπόν του προγράμματος </w:t>
      </w:r>
      <w:r w:rsidR="00A827A6">
        <w:rPr>
          <w:rFonts w:ascii="Bookman Old Style" w:hAnsi="Bookman Old Style"/>
          <w:sz w:val="24"/>
          <w:szCs w:val="24"/>
          <w:lang w:val="el-GR"/>
        </w:rPr>
        <w:t>«</w:t>
      </w:r>
      <w:r w:rsidR="00AB3A5A" w:rsidRPr="00AB3A5A">
        <w:rPr>
          <w:rFonts w:ascii="Bookman Old Style" w:hAnsi="Bookman Old Style"/>
          <w:sz w:val="24"/>
          <w:szCs w:val="24"/>
          <w:lang w:val="el-GR"/>
        </w:rPr>
        <w:t>OMT</w:t>
      </w:r>
      <w:r w:rsidR="00A827A6">
        <w:rPr>
          <w:rFonts w:ascii="Bookman Old Style" w:hAnsi="Bookman Old Style"/>
          <w:sz w:val="24"/>
          <w:szCs w:val="24"/>
          <w:lang w:val="el-GR"/>
        </w:rPr>
        <w:t>»</w:t>
      </w:r>
      <w:r w:rsidR="00AB3A5A" w:rsidRPr="00AB3A5A">
        <w:rPr>
          <w:rFonts w:ascii="Bookman Old Style" w:hAnsi="Bookman Old Style"/>
          <w:sz w:val="24"/>
          <w:szCs w:val="24"/>
          <w:lang w:val="el-GR"/>
        </w:rPr>
        <w:t xml:space="preserve">, κατά τους ισχυρισμούς των προσφευγόντων, δεν </w:t>
      </w:r>
      <w:r w:rsidR="00A827A6">
        <w:rPr>
          <w:rFonts w:ascii="Bookman Old Style" w:hAnsi="Bookman Old Style"/>
          <w:sz w:val="24"/>
          <w:szCs w:val="24"/>
          <w:lang w:val="el-GR"/>
        </w:rPr>
        <w:t>ήταν</w:t>
      </w:r>
      <w:r w:rsidR="00AB3A5A" w:rsidRPr="00AB3A5A">
        <w:rPr>
          <w:rFonts w:ascii="Bookman Old Style" w:hAnsi="Bookman Old Style"/>
          <w:sz w:val="24"/>
          <w:szCs w:val="24"/>
          <w:lang w:val="el-GR"/>
        </w:rPr>
        <w:t xml:space="preserve"> η </w:t>
      </w:r>
      <w:r w:rsidR="00AB3A5A" w:rsidRPr="00AB3A5A">
        <w:rPr>
          <w:rFonts w:ascii="Bookman Old Style" w:hAnsi="Bookman Old Style"/>
          <w:sz w:val="24"/>
          <w:szCs w:val="24"/>
          <w:lang w:val="el-GR"/>
        </w:rPr>
        <w:lastRenderedPageBreak/>
        <w:t xml:space="preserve">αποκατάσταση των διαύλων μετάδοσης της νομισματικής πολιτικής, αλλά η «διάσωση του </w:t>
      </w:r>
      <w:r w:rsidR="00A827A6">
        <w:rPr>
          <w:rFonts w:ascii="Bookman Old Style" w:hAnsi="Bookman Old Style"/>
          <w:sz w:val="24"/>
          <w:szCs w:val="24"/>
          <w:lang w:val="el-GR"/>
        </w:rPr>
        <w:t>Ε</w:t>
      </w:r>
      <w:r w:rsidR="00AB3A5A" w:rsidRPr="00AB3A5A">
        <w:rPr>
          <w:rFonts w:ascii="Bookman Old Style" w:hAnsi="Bookman Old Style"/>
          <w:sz w:val="24"/>
          <w:szCs w:val="24"/>
          <w:lang w:val="el-GR"/>
        </w:rPr>
        <w:t xml:space="preserve">υρώ» μέσω </w:t>
      </w:r>
      <w:r w:rsidR="00A827A6">
        <w:rPr>
          <w:rFonts w:ascii="Bookman Old Style" w:hAnsi="Bookman Old Style"/>
          <w:sz w:val="24"/>
          <w:szCs w:val="24"/>
          <w:lang w:val="el-GR"/>
        </w:rPr>
        <w:t>«</w:t>
      </w:r>
      <w:r w:rsidR="00AB3A5A" w:rsidRPr="00AB3A5A">
        <w:rPr>
          <w:rFonts w:ascii="Bookman Old Style" w:hAnsi="Bookman Old Style"/>
          <w:sz w:val="24"/>
          <w:szCs w:val="24"/>
          <w:lang w:val="el-GR"/>
        </w:rPr>
        <w:t>κοινοτικοποίησης</w:t>
      </w:r>
      <w:r w:rsidR="00A827A6">
        <w:rPr>
          <w:rFonts w:ascii="Bookman Old Style" w:hAnsi="Bookman Old Style"/>
          <w:sz w:val="24"/>
          <w:szCs w:val="24"/>
          <w:lang w:val="el-GR"/>
        </w:rPr>
        <w:t>»</w:t>
      </w:r>
      <w:r w:rsidR="00AB3A5A" w:rsidRPr="00AB3A5A">
        <w:rPr>
          <w:rFonts w:ascii="Bookman Old Style" w:hAnsi="Bookman Old Style"/>
          <w:sz w:val="24"/>
          <w:szCs w:val="24"/>
          <w:lang w:val="el-GR"/>
        </w:rPr>
        <w:t xml:space="preserve"> του χρέους των εν λόγω </w:t>
      </w:r>
      <w:r w:rsidR="00A827A6">
        <w:rPr>
          <w:rFonts w:ascii="Bookman Old Style" w:hAnsi="Bookman Old Style"/>
          <w:sz w:val="24"/>
          <w:szCs w:val="24"/>
          <w:lang w:val="el-GR"/>
        </w:rPr>
        <w:t>Κ</w:t>
      </w:r>
      <w:r w:rsidR="00AB3A5A" w:rsidRPr="00AB3A5A">
        <w:rPr>
          <w:rFonts w:ascii="Bookman Old Style" w:hAnsi="Bookman Old Style"/>
          <w:sz w:val="24"/>
          <w:szCs w:val="24"/>
          <w:lang w:val="el-GR"/>
        </w:rPr>
        <w:t xml:space="preserve">ρατών, η οποία δεν είναι συμβατή προς τις Συνθήκες, καθώς εκθέτει ορισμένα </w:t>
      </w:r>
      <w:r>
        <w:rPr>
          <w:rFonts w:ascii="Bookman Old Style" w:hAnsi="Bookman Old Style"/>
          <w:sz w:val="24"/>
          <w:szCs w:val="24"/>
          <w:lang w:val="el-GR"/>
        </w:rPr>
        <w:t>Κ</w:t>
      </w:r>
      <w:r w:rsidR="00AB3A5A" w:rsidRPr="00AB3A5A">
        <w:rPr>
          <w:rFonts w:ascii="Bookman Old Style" w:hAnsi="Bookman Old Style"/>
          <w:sz w:val="24"/>
          <w:szCs w:val="24"/>
          <w:lang w:val="el-GR"/>
        </w:rPr>
        <w:t>ράτη-</w:t>
      </w:r>
      <w:r>
        <w:rPr>
          <w:rFonts w:ascii="Bookman Old Style" w:hAnsi="Bookman Old Style"/>
          <w:sz w:val="24"/>
          <w:szCs w:val="24"/>
          <w:lang w:val="el-GR"/>
        </w:rPr>
        <w:t>Μ</w:t>
      </w:r>
      <w:r w:rsidR="00AB3A5A" w:rsidRPr="00AB3A5A">
        <w:rPr>
          <w:rFonts w:ascii="Bookman Old Style" w:hAnsi="Bookman Old Style"/>
          <w:sz w:val="24"/>
          <w:szCs w:val="24"/>
          <w:lang w:val="el-GR"/>
        </w:rPr>
        <w:t xml:space="preserve">έλη στον κίνδυνο της αύξησης του χρέους άλλων </w:t>
      </w:r>
      <w:r>
        <w:rPr>
          <w:rFonts w:ascii="Bookman Old Style" w:hAnsi="Bookman Old Style"/>
          <w:sz w:val="24"/>
          <w:szCs w:val="24"/>
          <w:lang w:val="el-GR"/>
        </w:rPr>
        <w:t>Κ</w:t>
      </w:r>
      <w:r w:rsidR="00AB3A5A" w:rsidRPr="00AB3A5A">
        <w:rPr>
          <w:rFonts w:ascii="Bookman Old Style" w:hAnsi="Bookman Old Style"/>
          <w:sz w:val="24"/>
          <w:szCs w:val="24"/>
          <w:lang w:val="el-GR"/>
        </w:rPr>
        <w:t>ρατών-</w:t>
      </w:r>
      <w:r>
        <w:rPr>
          <w:rFonts w:ascii="Bookman Old Style" w:hAnsi="Bookman Old Style"/>
          <w:sz w:val="24"/>
          <w:szCs w:val="24"/>
          <w:lang w:val="el-GR"/>
        </w:rPr>
        <w:t>Μ</w:t>
      </w:r>
      <w:r w:rsidR="00AB3A5A" w:rsidRPr="00AB3A5A">
        <w:rPr>
          <w:rFonts w:ascii="Bookman Old Style" w:hAnsi="Bookman Old Style"/>
          <w:sz w:val="24"/>
          <w:szCs w:val="24"/>
          <w:lang w:val="el-GR"/>
        </w:rPr>
        <w:t xml:space="preserve">ελών. </w:t>
      </w:r>
      <w:r w:rsidR="00A827A6">
        <w:rPr>
          <w:rFonts w:ascii="Bookman Old Style" w:hAnsi="Bookman Old Style"/>
          <w:sz w:val="24"/>
          <w:szCs w:val="24"/>
          <w:lang w:val="el-GR"/>
        </w:rPr>
        <w:t>Άρα</w:t>
      </w:r>
      <w:r w:rsidR="00697BF4">
        <w:rPr>
          <w:rFonts w:ascii="Bookman Old Style" w:hAnsi="Bookman Old Style"/>
          <w:sz w:val="24"/>
          <w:szCs w:val="24"/>
          <w:lang w:val="el-GR"/>
        </w:rPr>
        <w:t>,</w:t>
      </w:r>
      <w:r w:rsidR="00A827A6">
        <w:rPr>
          <w:rFonts w:ascii="Bookman Old Style" w:hAnsi="Bookman Old Style"/>
          <w:sz w:val="24"/>
          <w:szCs w:val="24"/>
          <w:lang w:val="el-GR"/>
        </w:rPr>
        <w:t xml:space="preserve"> μ</w:t>
      </w:r>
      <w:r w:rsidR="00AB3A5A" w:rsidRPr="00AB3A5A">
        <w:rPr>
          <w:rFonts w:ascii="Bookman Old Style" w:hAnsi="Bookman Old Style"/>
          <w:sz w:val="24"/>
          <w:szCs w:val="24"/>
          <w:lang w:val="el-GR"/>
        </w:rPr>
        <w:t xml:space="preserve">έτρο όπως αυτό </w:t>
      </w:r>
      <w:r w:rsidR="00A827A6">
        <w:rPr>
          <w:rFonts w:ascii="Bookman Old Style" w:hAnsi="Bookman Old Style"/>
          <w:sz w:val="24"/>
          <w:szCs w:val="24"/>
          <w:lang w:val="el-GR"/>
        </w:rPr>
        <w:t>έβαινε</w:t>
      </w:r>
      <w:r w:rsidR="00AB3A5A" w:rsidRPr="00AB3A5A">
        <w:rPr>
          <w:rFonts w:ascii="Bookman Old Style" w:hAnsi="Bookman Old Style"/>
          <w:sz w:val="24"/>
          <w:szCs w:val="24"/>
          <w:lang w:val="el-GR"/>
        </w:rPr>
        <w:t xml:space="preserve"> πέραν της «υποστήριξης» των οικονομικών πολιτικών της Ένωσης και των </w:t>
      </w:r>
      <w:r w:rsidR="00A827A6">
        <w:rPr>
          <w:rFonts w:ascii="Bookman Old Style" w:hAnsi="Bookman Old Style"/>
          <w:sz w:val="24"/>
          <w:szCs w:val="24"/>
          <w:lang w:val="el-GR"/>
        </w:rPr>
        <w:t>Κ</w:t>
      </w:r>
      <w:r w:rsidR="00AB3A5A" w:rsidRPr="00AB3A5A">
        <w:rPr>
          <w:rFonts w:ascii="Bookman Old Style" w:hAnsi="Bookman Old Style"/>
          <w:sz w:val="24"/>
          <w:szCs w:val="24"/>
          <w:lang w:val="el-GR"/>
        </w:rPr>
        <w:t>ρατών-</w:t>
      </w:r>
      <w:r w:rsidR="00A827A6">
        <w:rPr>
          <w:rFonts w:ascii="Bookman Old Style" w:hAnsi="Bookman Old Style"/>
          <w:sz w:val="24"/>
          <w:szCs w:val="24"/>
          <w:lang w:val="el-GR"/>
        </w:rPr>
        <w:t>Μ</w:t>
      </w:r>
      <w:r w:rsidR="00AB3A5A" w:rsidRPr="00AB3A5A">
        <w:rPr>
          <w:rFonts w:ascii="Bookman Old Style" w:hAnsi="Bookman Old Style"/>
          <w:sz w:val="24"/>
          <w:szCs w:val="24"/>
          <w:lang w:val="el-GR"/>
        </w:rPr>
        <w:t>ελών που η ΕΚΤ μπορεί, σύμφωνα με τις Συνθήκες, να παράσχει και συνιστ</w:t>
      </w:r>
      <w:r w:rsidR="00A827A6">
        <w:rPr>
          <w:rFonts w:ascii="Bookman Old Style" w:hAnsi="Bookman Old Style"/>
          <w:sz w:val="24"/>
          <w:szCs w:val="24"/>
          <w:lang w:val="el-GR"/>
        </w:rPr>
        <w:t>ούσε</w:t>
      </w:r>
      <w:r w:rsidR="00AB3A5A" w:rsidRPr="00AB3A5A">
        <w:rPr>
          <w:rFonts w:ascii="Bookman Old Style" w:hAnsi="Bookman Old Style"/>
          <w:sz w:val="24"/>
          <w:szCs w:val="24"/>
          <w:lang w:val="el-GR"/>
        </w:rPr>
        <w:t xml:space="preserve"> μέτρο οικονομικής πολιτικής, για το οποίο δεν έχει αρμοδιότητα.  Εν κατακλείδι, </w:t>
      </w:r>
      <w:r w:rsidR="0035421B">
        <w:rPr>
          <w:rFonts w:ascii="Bookman Old Style" w:hAnsi="Bookman Old Style"/>
          <w:sz w:val="24"/>
          <w:szCs w:val="24"/>
          <w:lang w:val="el-GR"/>
        </w:rPr>
        <w:t>οι</w:t>
      </w:r>
      <w:r w:rsidR="00AB3A5A" w:rsidRPr="00AB3A5A">
        <w:rPr>
          <w:rFonts w:ascii="Bookman Old Style" w:hAnsi="Bookman Old Style"/>
          <w:sz w:val="24"/>
          <w:szCs w:val="24"/>
          <w:lang w:val="el-GR"/>
        </w:rPr>
        <w:t xml:space="preserve"> προσφεύγοντες ισχυρί</w:t>
      </w:r>
      <w:r w:rsidR="00315C75">
        <w:rPr>
          <w:rFonts w:ascii="Bookman Old Style" w:hAnsi="Bookman Old Style"/>
          <w:sz w:val="24"/>
          <w:szCs w:val="24"/>
          <w:lang w:val="el-GR"/>
        </w:rPr>
        <w:t>σθη</w:t>
      </w:r>
      <w:r w:rsidR="00AB3A5A" w:rsidRPr="00AB3A5A">
        <w:rPr>
          <w:rFonts w:ascii="Bookman Old Style" w:hAnsi="Bookman Old Style"/>
          <w:sz w:val="24"/>
          <w:szCs w:val="24"/>
          <w:lang w:val="el-GR"/>
        </w:rPr>
        <w:t>καν αφενός ότι οι αποφάσεις σχετικά με τ</w:t>
      </w:r>
      <w:r w:rsidR="00A827A6">
        <w:rPr>
          <w:rFonts w:ascii="Bookman Old Style" w:hAnsi="Bookman Old Style"/>
          <w:sz w:val="24"/>
          <w:szCs w:val="24"/>
          <w:lang w:val="el-GR"/>
        </w:rPr>
        <w:t>ο πρόγραμμα</w:t>
      </w:r>
      <w:r w:rsidR="00AB3A5A" w:rsidRPr="00AB3A5A">
        <w:rPr>
          <w:rFonts w:ascii="Bookman Old Style" w:hAnsi="Bookman Old Style"/>
          <w:sz w:val="24"/>
          <w:szCs w:val="24"/>
          <w:lang w:val="el-GR"/>
        </w:rPr>
        <w:t xml:space="preserve"> </w:t>
      </w:r>
      <w:r w:rsidR="00A827A6">
        <w:rPr>
          <w:rFonts w:ascii="Bookman Old Style" w:hAnsi="Bookman Old Style"/>
          <w:sz w:val="24"/>
          <w:szCs w:val="24"/>
          <w:lang w:val="el-GR"/>
        </w:rPr>
        <w:t>«</w:t>
      </w:r>
      <w:r w:rsidR="00AB3A5A" w:rsidRPr="00AB3A5A">
        <w:rPr>
          <w:rFonts w:ascii="Bookman Old Style" w:hAnsi="Bookman Old Style"/>
          <w:sz w:val="24"/>
          <w:szCs w:val="24"/>
          <w:lang w:val="el-GR"/>
        </w:rPr>
        <w:t>OMT</w:t>
      </w:r>
      <w:r w:rsidR="00A827A6">
        <w:rPr>
          <w:rFonts w:ascii="Bookman Old Style" w:hAnsi="Bookman Old Style"/>
          <w:sz w:val="24"/>
          <w:szCs w:val="24"/>
          <w:lang w:val="el-GR"/>
        </w:rPr>
        <w:t>»</w:t>
      </w:r>
      <w:r w:rsidR="00AB3A5A" w:rsidRPr="00AB3A5A">
        <w:rPr>
          <w:rFonts w:ascii="Bookman Old Style" w:hAnsi="Bookman Old Style"/>
          <w:sz w:val="24"/>
          <w:szCs w:val="24"/>
          <w:lang w:val="el-GR"/>
        </w:rPr>
        <w:t xml:space="preserve"> συνιστούν, ως σύνολο, πράξη «ultra vires» </w:t>
      </w:r>
      <w:r w:rsidR="00A827A6">
        <w:rPr>
          <w:rFonts w:ascii="Bookman Old Style" w:hAnsi="Bookman Old Style"/>
          <w:sz w:val="24"/>
          <w:szCs w:val="24"/>
          <w:lang w:val="el-GR"/>
        </w:rPr>
        <w:t>-</w:t>
      </w:r>
      <w:r w:rsidR="00AB3A5A" w:rsidRPr="00AB3A5A">
        <w:rPr>
          <w:rFonts w:ascii="Bookman Old Style" w:hAnsi="Bookman Old Style"/>
          <w:sz w:val="24"/>
          <w:szCs w:val="24"/>
          <w:lang w:val="el-GR"/>
        </w:rPr>
        <w:t>πράξη εκδοθείσα καθ’ υπέρβαση εξουσίας</w:t>
      </w:r>
      <w:r w:rsidR="00A827A6">
        <w:rPr>
          <w:rFonts w:ascii="Bookman Old Style" w:hAnsi="Bookman Old Style"/>
          <w:sz w:val="24"/>
          <w:szCs w:val="24"/>
          <w:lang w:val="el-GR"/>
        </w:rPr>
        <w:t>-</w:t>
      </w:r>
      <w:r w:rsidR="00AB3A5A" w:rsidRPr="00AB3A5A">
        <w:rPr>
          <w:rFonts w:ascii="Bookman Old Style" w:hAnsi="Bookman Old Style"/>
          <w:sz w:val="24"/>
          <w:szCs w:val="24"/>
          <w:lang w:val="el-GR"/>
        </w:rPr>
        <w:t xml:space="preserve"> καθόσον δεν εμπίπτουν στην αποστολή που έχει ανατεθεί στην ΕΚΤ και παραβιάζουν τις διατάξεις του άρθρου 123 </w:t>
      </w:r>
      <w:r w:rsidR="00A827A6">
        <w:rPr>
          <w:rFonts w:ascii="Bookman Old Style" w:hAnsi="Bookman Old Style"/>
          <w:sz w:val="24"/>
          <w:szCs w:val="24"/>
          <w:lang w:val="el-GR"/>
        </w:rPr>
        <w:t xml:space="preserve">της </w:t>
      </w:r>
      <w:r w:rsidR="00AB3A5A" w:rsidRPr="00AB3A5A">
        <w:rPr>
          <w:rFonts w:ascii="Bookman Old Style" w:hAnsi="Bookman Old Style"/>
          <w:sz w:val="24"/>
          <w:szCs w:val="24"/>
          <w:lang w:val="el-GR"/>
        </w:rPr>
        <w:t>ΣΛΕΕ</w:t>
      </w:r>
      <w:r w:rsidR="00A827A6">
        <w:rPr>
          <w:rFonts w:ascii="Bookman Old Style" w:hAnsi="Bookman Old Style"/>
          <w:sz w:val="24"/>
          <w:szCs w:val="24"/>
          <w:lang w:val="el-GR"/>
        </w:rPr>
        <w:t>,</w:t>
      </w:r>
      <w:r w:rsidR="00AB3A5A" w:rsidRPr="00AB3A5A">
        <w:rPr>
          <w:rFonts w:ascii="Bookman Old Style" w:hAnsi="Bookman Old Style"/>
          <w:sz w:val="24"/>
          <w:szCs w:val="24"/>
          <w:lang w:val="el-GR"/>
        </w:rPr>
        <w:t xml:space="preserve"> περί απαγόρευσης της νομισματικής χρηματοδότησης. Και, αφετέρου, ότι οι αποφάσεις αυτές παραβιάζουν την </w:t>
      </w:r>
      <w:r w:rsidR="00507C08">
        <w:rPr>
          <w:rFonts w:ascii="Bookman Old Style" w:hAnsi="Bookman Old Style"/>
          <w:sz w:val="24"/>
          <w:szCs w:val="24"/>
          <w:lang w:val="el-GR"/>
        </w:rPr>
        <w:t>Δ</w:t>
      </w:r>
      <w:r w:rsidR="00AB3A5A" w:rsidRPr="00AB3A5A">
        <w:rPr>
          <w:rFonts w:ascii="Bookman Old Style" w:hAnsi="Bookman Old Style"/>
          <w:sz w:val="24"/>
          <w:szCs w:val="24"/>
          <w:lang w:val="el-GR"/>
        </w:rPr>
        <w:t xml:space="preserve">ημοκρατική </w:t>
      </w:r>
      <w:r w:rsidR="00507C08">
        <w:rPr>
          <w:rFonts w:ascii="Bookman Old Style" w:hAnsi="Bookman Old Style"/>
          <w:sz w:val="24"/>
          <w:szCs w:val="24"/>
          <w:lang w:val="el-GR"/>
        </w:rPr>
        <w:t>Α</w:t>
      </w:r>
      <w:r w:rsidR="00AB3A5A" w:rsidRPr="00AB3A5A">
        <w:rPr>
          <w:rFonts w:ascii="Bookman Old Style" w:hAnsi="Bookman Old Style"/>
          <w:sz w:val="24"/>
          <w:szCs w:val="24"/>
          <w:lang w:val="el-GR"/>
        </w:rPr>
        <w:t>ρχή</w:t>
      </w:r>
      <w:r w:rsidR="00507C08">
        <w:rPr>
          <w:rFonts w:ascii="Bookman Old Style" w:hAnsi="Bookman Old Style"/>
          <w:sz w:val="24"/>
          <w:szCs w:val="24"/>
          <w:lang w:val="el-GR"/>
        </w:rPr>
        <w:t>,</w:t>
      </w:r>
      <w:r w:rsidR="00AB3A5A" w:rsidRPr="00AB3A5A">
        <w:rPr>
          <w:rFonts w:ascii="Bookman Old Style" w:hAnsi="Bookman Old Style"/>
          <w:sz w:val="24"/>
          <w:szCs w:val="24"/>
          <w:lang w:val="el-GR"/>
        </w:rPr>
        <w:t xml:space="preserve"> που καθιερώνεται στον γερμανικό Θεμελιώδη Νόμο (Grundgesetz) και θίγουν, ως εκ τούτου, την γερμανική «συνταγματική ταυτότητα».</w:t>
      </w:r>
    </w:p>
    <w:p w:rsidR="00AB3A5A" w:rsidRPr="00AB3A5A" w:rsidRDefault="00315C75" w:rsidP="00303AFA">
      <w:pPr>
        <w:pStyle w:val="1"/>
        <w:spacing w:before="240" w:after="240" w:line="360" w:lineRule="auto"/>
        <w:ind w:left="1134" w:hanging="283"/>
        <w:jc w:val="both"/>
        <w:rPr>
          <w:rFonts w:ascii="Bookman Old Style" w:hAnsi="Bookman Old Style"/>
          <w:sz w:val="24"/>
          <w:szCs w:val="24"/>
          <w:lang w:val="el-GR"/>
        </w:rPr>
      </w:pPr>
      <w:r w:rsidRPr="00315C75">
        <w:rPr>
          <w:rFonts w:ascii="Bookman Old Style" w:hAnsi="Bookman Old Style"/>
          <w:b/>
          <w:sz w:val="24"/>
          <w:szCs w:val="24"/>
          <w:lang w:val="el-GR"/>
        </w:rPr>
        <w:t>4</w:t>
      </w:r>
      <w:r w:rsidR="00AB3A5A" w:rsidRPr="00AB3A5A">
        <w:rPr>
          <w:rFonts w:ascii="Bookman Old Style" w:hAnsi="Bookman Old Style"/>
          <w:b/>
          <w:sz w:val="24"/>
          <w:szCs w:val="24"/>
          <w:lang w:val="el-GR"/>
        </w:rPr>
        <w:t xml:space="preserve">. Το προδικαστικό ερώτημα: Δυνητική παράβαση των Συνθηκών και της </w:t>
      </w:r>
      <w:r w:rsidR="00C318C3">
        <w:rPr>
          <w:rFonts w:ascii="Bookman Old Style" w:hAnsi="Bookman Old Style"/>
          <w:b/>
          <w:sz w:val="24"/>
          <w:szCs w:val="24"/>
          <w:lang w:val="el-GR"/>
        </w:rPr>
        <w:t>Δ</w:t>
      </w:r>
      <w:r w:rsidR="00AB3A5A" w:rsidRPr="00AB3A5A">
        <w:rPr>
          <w:rFonts w:ascii="Bookman Old Style" w:hAnsi="Bookman Old Style"/>
          <w:b/>
          <w:sz w:val="24"/>
          <w:szCs w:val="24"/>
          <w:lang w:val="el-GR"/>
        </w:rPr>
        <w:t xml:space="preserve">ημοκρατικής </w:t>
      </w:r>
      <w:r w:rsidR="00C318C3">
        <w:rPr>
          <w:rFonts w:ascii="Bookman Old Style" w:hAnsi="Bookman Old Style"/>
          <w:b/>
          <w:sz w:val="24"/>
          <w:szCs w:val="24"/>
          <w:lang w:val="el-GR"/>
        </w:rPr>
        <w:t>Α</w:t>
      </w:r>
      <w:r w:rsidR="00AB3A5A" w:rsidRPr="00AB3A5A">
        <w:rPr>
          <w:rFonts w:ascii="Bookman Old Style" w:hAnsi="Bookman Old Style"/>
          <w:b/>
          <w:sz w:val="24"/>
          <w:szCs w:val="24"/>
          <w:lang w:val="el-GR"/>
        </w:rPr>
        <w:t xml:space="preserve">ρχής δια του προγράμματος </w:t>
      </w:r>
      <w:r w:rsidR="00C318C3">
        <w:rPr>
          <w:rFonts w:ascii="Bookman Old Style" w:hAnsi="Bookman Old Style"/>
          <w:b/>
          <w:sz w:val="24"/>
          <w:szCs w:val="24"/>
          <w:lang w:val="el-GR"/>
        </w:rPr>
        <w:t>«</w:t>
      </w:r>
      <w:r w:rsidR="00AB3A5A" w:rsidRPr="00AB3A5A">
        <w:rPr>
          <w:rFonts w:ascii="Bookman Old Style" w:hAnsi="Bookman Old Style"/>
          <w:b/>
          <w:sz w:val="24"/>
          <w:szCs w:val="24"/>
          <w:lang w:val="el-GR"/>
        </w:rPr>
        <w:t>ΟΜΤ</w:t>
      </w:r>
      <w:r w:rsidR="00C318C3">
        <w:rPr>
          <w:rFonts w:ascii="Bookman Old Style" w:hAnsi="Bookman Old Style"/>
          <w:b/>
          <w:sz w:val="24"/>
          <w:szCs w:val="24"/>
          <w:lang w:val="el-GR"/>
        </w:rPr>
        <w:t>».</w:t>
      </w:r>
    </w:p>
    <w:p w:rsidR="00AB3A5A" w:rsidRPr="00AB3A5A" w:rsidRDefault="00AB3A5A" w:rsidP="00303AFA">
      <w:pPr>
        <w:spacing w:before="240" w:after="240" w:line="360" w:lineRule="auto"/>
        <w:ind w:left="851"/>
        <w:jc w:val="both"/>
        <w:rPr>
          <w:rFonts w:ascii="Bookman Old Style" w:hAnsi="Bookman Old Style"/>
          <w:sz w:val="24"/>
          <w:szCs w:val="24"/>
        </w:rPr>
      </w:pPr>
      <w:r w:rsidRPr="00AB3A5A">
        <w:rPr>
          <w:rFonts w:ascii="Bookman Old Style" w:hAnsi="Bookman Old Style"/>
          <w:sz w:val="24"/>
          <w:szCs w:val="24"/>
        </w:rPr>
        <w:t>Στο πλαίσιο του κατά τ’ ανωτέρω ελέγχου «ultra vires»</w:t>
      </w:r>
      <w:r w:rsidR="00C318C3">
        <w:rPr>
          <w:rFonts w:ascii="Bookman Old Style" w:hAnsi="Bookman Old Style"/>
          <w:sz w:val="24"/>
          <w:szCs w:val="24"/>
        </w:rPr>
        <w:t>,</w:t>
      </w:r>
      <w:r w:rsidRPr="00AB3A5A">
        <w:rPr>
          <w:rFonts w:ascii="Bookman Old Style" w:hAnsi="Bookman Old Style"/>
          <w:sz w:val="24"/>
          <w:szCs w:val="24"/>
        </w:rPr>
        <w:t xml:space="preserve"> το </w:t>
      </w:r>
      <w:r w:rsidR="00315C75">
        <w:rPr>
          <w:rFonts w:ascii="Bookman Old Style" w:hAnsi="Bookman Old Style"/>
          <w:sz w:val="24"/>
          <w:szCs w:val="24"/>
        </w:rPr>
        <w:t>Ομοσπονδιακό Συνταγματικό Δικ</w:t>
      </w:r>
      <w:r w:rsidR="0035421B">
        <w:rPr>
          <w:rFonts w:ascii="Bookman Old Style" w:hAnsi="Bookman Old Style"/>
          <w:sz w:val="24"/>
          <w:szCs w:val="24"/>
        </w:rPr>
        <w:t>α</w:t>
      </w:r>
      <w:r w:rsidR="00315C75">
        <w:rPr>
          <w:rFonts w:ascii="Bookman Old Style" w:hAnsi="Bookman Old Style"/>
          <w:sz w:val="24"/>
          <w:szCs w:val="24"/>
        </w:rPr>
        <w:t>στήριο της Γερμανίας</w:t>
      </w:r>
      <w:r w:rsidRPr="00AB3A5A">
        <w:rPr>
          <w:rFonts w:ascii="Bookman Old Style" w:hAnsi="Bookman Old Style"/>
          <w:sz w:val="24"/>
          <w:szCs w:val="24"/>
        </w:rPr>
        <w:t xml:space="preserve"> οδηγήθηκε, στις 14.1.2014, στην υποβολή προδικαστικού ερωτήματος στο ΔΕΕ σχετικά με την ερμηνεία του προγράμματος </w:t>
      </w:r>
      <w:r w:rsidR="00C318C3">
        <w:rPr>
          <w:rFonts w:ascii="Bookman Old Style" w:hAnsi="Bookman Old Style"/>
          <w:sz w:val="24"/>
          <w:szCs w:val="24"/>
        </w:rPr>
        <w:t>«</w:t>
      </w:r>
      <w:r w:rsidRPr="00AB3A5A">
        <w:rPr>
          <w:rFonts w:ascii="Bookman Old Style" w:hAnsi="Bookman Old Style"/>
          <w:sz w:val="24"/>
          <w:szCs w:val="24"/>
        </w:rPr>
        <w:t>ΟΜΤ</w:t>
      </w:r>
      <w:r w:rsidR="00C318C3">
        <w:rPr>
          <w:rFonts w:ascii="Bookman Old Style" w:hAnsi="Bookman Old Style"/>
          <w:sz w:val="24"/>
          <w:szCs w:val="24"/>
        </w:rPr>
        <w:t>»</w:t>
      </w:r>
      <w:r w:rsidRPr="00AB3A5A">
        <w:rPr>
          <w:rFonts w:ascii="Bookman Old Style" w:hAnsi="Bookman Old Style"/>
          <w:sz w:val="24"/>
          <w:szCs w:val="24"/>
        </w:rPr>
        <w:t xml:space="preserve">, διότι έκρινε ότι το πρόγραμμα ενδέχεται να προκαλέσει αφενός παράβαση της απαγόρευσης </w:t>
      </w:r>
      <w:r w:rsidRPr="00AB3A5A">
        <w:rPr>
          <w:rFonts w:ascii="Bookman Old Style" w:hAnsi="Bookman Old Style"/>
          <w:i/>
          <w:sz w:val="24"/>
          <w:szCs w:val="24"/>
        </w:rPr>
        <w:t xml:space="preserve">νομισματικής </w:t>
      </w:r>
      <w:r w:rsidRPr="00AB3A5A">
        <w:rPr>
          <w:rFonts w:ascii="Bookman Old Style" w:hAnsi="Bookman Old Style"/>
          <w:sz w:val="24"/>
          <w:szCs w:val="24"/>
        </w:rPr>
        <w:t xml:space="preserve">χρηματοδότησης </w:t>
      </w:r>
      <w:r w:rsidR="00C318C3">
        <w:rPr>
          <w:rFonts w:ascii="Bookman Old Style" w:hAnsi="Bookman Old Style"/>
          <w:sz w:val="24"/>
          <w:szCs w:val="24"/>
        </w:rPr>
        <w:t>Κ</w:t>
      </w:r>
      <w:r w:rsidRPr="00AB3A5A">
        <w:rPr>
          <w:rFonts w:ascii="Bookman Old Style" w:hAnsi="Bookman Old Style"/>
          <w:sz w:val="24"/>
          <w:szCs w:val="24"/>
        </w:rPr>
        <w:t xml:space="preserve">ρατών από την ΕΚΤ κατά τις διατάξεις του άρθρου 123 παρ. 1 </w:t>
      </w:r>
      <w:r w:rsidR="00C318C3">
        <w:rPr>
          <w:rFonts w:ascii="Bookman Old Style" w:hAnsi="Bookman Old Style"/>
          <w:sz w:val="24"/>
          <w:szCs w:val="24"/>
        </w:rPr>
        <w:t xml:space="preserve">της </w:t>
      </w:r>
      <w:r w:rsidRPr="00AB3A5A">
        <w:rPr>
          <w:rFonts w:ascii="Bookman Old Style" w:hAnsi="Bookman Old Style"/>
          <w:sz w:val="24"/>
          <w:szCs w:val="24"/>
        </w:rPr>
        <w:t>ΣΛΕΕ</w:t>
      </w:r>
      <w:r w:rsidR="00C318C3">
        <w:rPr>
          <w:rFonts w:ascii="Bookman Old Style" w:hAnsi="Bookman Old Style"/>
          <w:sz w:val="24"/>
          <w:szCs w:val="24"/>
        </w:rPr>
        <w:t xml:space="preserve">. </w:t>
      </w:r>
      <w:r w:rsidRPr="00AB3A5A">
        <w:rPr>
          <w:rFonts w:ascii="Bookman Old Style" w:hAnsi="Bookman Old Style"/>
          <w:sz w:val="24"/>
          <w:szCs w:val="24"/>
        </w:rPr>
        <w:t xml:space="preserve"> </w:t>
      </w:r>
      <w:r w:rsidR="00C318C3">
        <w:rPr>
          <w:rFonts w:ascii="Bookman Old Style" w:hAnsi="Bookman Old Style"/>
          <w:sz w:val="24"/>
          <w:szCs w:val="24"/>
        </w:rPr>
        <w:t>Κ</w:t>
      </w:r>
      <w:r w:rsidRPr="00AB3A5A">
        <w:rPr>
          <w:rFonts w:ascii="Bookman Old Style" w:hAnsi="Bookman Old Style"/>
          <w:sz w:val="24"/>
          <w:szCs w:val="24"/>
        </w:rPr>
        <w:t xml:space="preserve">αι, αφετέρου, υπέρβαση των αρμοδιοτήτων της ΕΚΤ και, κατά συνέπεια, παραβίαση της </w:t>
      </w:r>
      <w:r w:rsidR="00315C75">
        <w:rPr>
          <w:rFonts w:ascii="Bookman Old Style" w:hAnsi="Bookman Old Style"/>
          <w:sz w:val="24"/>
          <w:szCs w:val="24"/>
        </w:rPr>
        <w:lastRenderedPageBreak/>
        <w:t>Δ</w:t>
      </w:r>
      <w:r w:rsidRPr="00AB3A5A">
        <w:rPr>
          <w:rFonts w:ascii="Bookman Old Style" w:hAnsi="Bookman Old Style"/>
          <w:sz w:val="24"/>
          <w:szCs w:val="24"/>
        </w:rPr>
        <w:t xml:space="preserve">ημοκρατικής </w:t>
      </w:r>
      <w:r w:rsidR="00315C75">
        <w:rPr>
          <w:rFonts w:ascii="Bookman Old Style" w:hAnsi="Bookman Old Style"/>
          <w:sz w:val="24"/>
          <w:szCs w:val="24"/>
        </w:rPr>
        <w:t>Α</w:t>
      </w:r>
      <w:r w:rsidRPr="00AB3A5A">
        <w:rPr>
          <w:rFonts w:ascii="Bookman Old Style" w:hAnsi="Bookman Old Style"/>
          <w:sz w:val="24"/>
          <w:szCs w:val="24"/>
        </w:rPr>
        <w:t xml:space="preserve">ρχής, λόγω έμμεσης αντιποίησης των αρμοδιοτήτων των Κοινοβουλίων των </w:t>
      </w:r>
      <w:r w:rsidR="00315C75">
        <w:rPr>
          <w:rFonts w:ascii="Bookman Old Style" w:hAnsi="Bookman Old Style"/>
          <w:sz w:val="24"/>
          <w:szCs w:val="24"/>
        </w:rPr>
        <w:t>Κ</w:t>
      </w:r>
      <w:r w:rsidRPr="00AB3A5A">
        <w:rPr>
          <w:rFonts w:ascii="Bookman Old Style" w:hAnsi="Bookman Old Style"/>
          <w:sz w:val="24"/>
          <w:szCs w:val="24"/>
        </w:rPr>
        <w:t>ρατών-</w:t>
      </w:r>
      <w:r w:rsidR="00315C75">
        <w:rPr>
          <w:rFonts w:ascii="Bookman Old Style" w:hAnsi="Bookman Old Style"/>
          <w:sz w:val="24"/>
          <w:szCs w:val="24"/>
        </w:rPr>
        <w:t>Μ</w:t>
      </w:r>
      <w:r w:rsidRPr="00AB3A5A">
        <w:rPr>
          <w:rFonts w:ascii="Bookman Old Style" w:hAnsi="Bookman Old Style"/>
          <w:sz w:val="24"/>
          <w:szCs w:val="24"/>
        </w:rPr>
        <w:t xml:space="preserve">ελών, στα οποία και παραμένει η άσκηση της </w:t>
      </w:r>
      <w:r w:rsidRPr="00AB3A5A">
        <w:rPr>
          <w:rFonts w:ascii="Bookman Old Style" w:hAnsi="Bookman Old Style"/>
          <w:i/>
          <w:sz w:val="24"/>
          <w:szCs w:val="24"/>
        </w:rPr>
        <w:t>δημοσιονομικής</w:t>
      </w:r>
      <w:r w:rsidRPr="00AB3A5A">
        <w:rPr>
          <w:rFonts w:ascii="Bookman Old Style" w:hAnsi="Bookman Old Style"/>
          <w:sz w:val="24"/>
          <w:szCs w:val="24"/>
        </w:rPr>
        <w:t xml:space="preserve"> εξουσίας. </w:t>
      </w:r>
    </w:p>
    <w:p w:rsidR="00315C75" w:rsidRDefault="00315C75" w:rsidP="00303AFA">
      <w:pPr>
        <w:pStyle w:val="1"/>
        <w:spacing w:before="240" w:after="240" w:line="360" w:lineRule="auto"/>
        <w:ind w:left="1134" w:hanging="283"/>
        <w:jc w:val="both"/>
        <w:rPr>
          <w:rFonts w:ascii="Bookman Old Style" w:hAnsi="Bookman Old Style"/>
          <w:sz w:val="24"/>
          <w:szCs w:val="24"/>
          <w:lang w:val="el-GR"/>
        </w:rPr>
      </w:pPr>
      <w:r w:rsidRPr="00315C75">
        <w:rPr>
          <w:rFonts w:ascii="Bookman Old Style" w:hAnsi="Bookman Old Style"/>
          <w:b/>
          <w:sz w:val="24"/>
          <w:szCs w:val="24"/>
          <w:lang w:val="el-GR"/>
        </w:rPr>
        <w:t>α)</w:t>
      </w:r>
      <w:r>
        <w:rPr>
          <w:rFonts w:ascii="Bookman Old Style" w:hAnsi="Bookman Old Style"/>
          <w:sz w:val="24"/>
          <w:szCs w:val="24"/>
          <w:lang w:val="el-GR"/>
        </w:rPr>
        <w:t xml:space="preserve"> </w:t>
      </w:r>
      <w:r w:rsidR="00AB3A5A" w:rsidRPr="00AB3A5A">
        <w:rPr>
          <w:rFonts w:ascii="Bookman Old Style" w:hAnsi="Bookman Old Style"/>
          <w:sz w:val="24"/>
          <w:szCs w:val="24"/>
          <w:lang w:val="el-GR"/>
        </w:rPr>
        <w:t xml:space="preserve">Ως προς την παράβαση της απαγόρευσης νομισματικής χρηματοδότησης </w:t>
      </w:r>
      <w:r w:rsidR="00C318C3">
        <w:rPr>
          <w:rFonts w:ascii="Bookman Old Style" w:hAnsi="Bookman Old Style"/>
          <w:sz w:val="24"/>
          <w:szCs w:val="24"/>
          <w:lang w:val="el-GR"/>
        </w:rPr>
        <w:t>Κ</w:t>
      </w:r>
      <w:r w:rsidR="00AB3A5A" w:rsidRPr="00AB3A5A">
        <w:rPr>
          <w:rFonts w:ascii="Bookman Old Style" w:hAnsi="Bookman Old Style"/>
          <w:sz w:val="24"/>
          <w:szCs w:val="24"/>
          <w:lang w:val="el-GR"/>
        </w:rPr>
        <w:t>ρατών από την ΕΚΤ</w:t>
      </w:r>
      <w:r w:rsidR="00697BF4">
        <w:rPr>
          <w:rFonts w:ascii="Bookman Old Style" w:hAnsi="Bookman Old Style"/>
          <w:sz w:val="24"/>
          <w:szCs w:val="24"/>
          <w:lang w:val="el-GR"/>
        </w:rPr>
        <w:t>,</w:t>
      </w:r>
      <w:r w:rsidR="00AB3A5A" w:rsidRPr="00AB3A5A">
        <w:rPr>
          <w:rFonts w:ascii="Bookman Old Style" w:hAnsi="Bookman Old Style"/>
          <w:sz w:val="24"/>
          <w:szCs w:val="24"/>
          <w:lang w:val="el-GR"/>
        </w:rPr>
        <w:t xml:space="preserve"> κατά τις διατάξεις του άρθρου 123 παρ. 1 </w:t>
      </w:r>
      <w:r w:rsidR="00C318C3">
        <w:rPr>
          <w:rFonts w:ascii="Bookman Old Style" w:hAnsi="Bookman Old Style"/>
          <w:sz w:val="24"/>
          <w:szCs w:val="24"/>
          <w:lang w:val="el-GR"/>
        </w:rPr>
        <w:t xml:space="preserve">της </w:t>
      </w:r>
      <w:r w:rsidR="00AB3A5A" w:rsidRPr="00AB3A5A">
        <w:rPr>
          <w:rFonts w:ascii="Bookman Old Style" w:hAnsi="Bookman Old Style"/>
          <w:sz w:val="24"/>
          <w:szCs w:val="24"/>
          <w:lang w:val="el-GR"/>
        </w:rPr>
        <w:t xml:space="preserve">ΣΛΕΕ, το </w:t>
      </w:r>
      <w:r>
        <w:rPr>
          <w:rFonts w:ascii="Bookman Old Style" w:hAnsi="Bookman Old Style"/>
          <w:sz w:val="24"/>
          <w:szCs w:val="24"/>
          <w:lang w:val="el-GR"/>
        </w:rPr>
        <w:t>Ομοσπονδιακό Συνταγματικό Δικαστήριο της Γερμανίας</w:t>
      </w:r>
      <w:r w:rsidR="00AB3A5A" w:rsidRPr="00AB3A5A">
        <w:rPr>
          <w:rFonts w:ascii="Bookman Old Style" w:hAnsi="Bookman Old Style"/>
          <w:sz w:val="24"/>
          <w:szCs w:val="24"/>
          <w:lang w:val="el-GR"/>
        </w:rPr>
        <w:t xml:space="preserve"> έκρινε ότι η αγορά ομολόγων από την ΕΚΤ στην δευτερογενή αγορά είναι λειτουργικώς ισοδύναμη με την απευθείας αγορά ομολόγων από τα </w:t>
      </w:r>
      <w:r w:rsidR="00C318C3">
        <w:rPr>
          <w:rFonts w:ascii="Bookman Old Style" w:hAnsi="Bookman Old Style"/>
          <w:sz w:val="24"/>
          <w:szCs w:val="24"/>
          <w:lang w:val="el-GR"/>
        </w:rPr>
        <w:t>Κ</w:t>
      </w:r>
      <w:r w:rsidR="00AB3A5A" w:rsidRPr="00AB3A5A">
        <w:rPr>
          <w:rFonts w:ascii="Bookman Old Style" w:hAnsi="Bookman Old Style"/>
          <w:sz w:val="24"/>
          <w:szCs w:val="24"/>
          <w:lang w:val="el-GR"/>
        </w:rPr>
        <w:t>ράτη</w:t>
      </w:r>
      <w:r w:rsidR="00C318C3">
        <w:rPr>
          <w:rFonts w:ascii="Bookman Old Style" w:hAnsi="Bookman Old Style"/>
          <w:sz w:val="24"/>
          <w:szCs w:val="24"/>
          <w:lang w:val="el-GR"/>
        </w:rPr>
        <w:t>,</w:t>
      </w:r>
      <w:r w:rsidR="00AB3A5A" w:rsidRPr="00AB3A5A">
        <w:rPr>
          <w:rFonts w:ascii="Bookman Old Style" w:hAnsi="Bookman Old Style"/>
          <w:sz w:val="24"/>
          <w:szCs w:val="24"/>
          <w:lang w:val="el-GR"/>
        </w:rPr>
        <w:t xml:space="preserve"> τα οποία τα εκδίδουν, λόγω της </w:t>
      </w:r>
      <w:r w:rsidR="00AB3A5A" w:rsidRPr="00AB3A5A">
        <w:rPr>
          <w:rFonts w:ascii="Bookman Old Style" w:hAnsi="Bookman Old Style"/>
          <w:sz w:val="24"/>
          <w:szCs w:val="24"/>
        </w:rPr>
        <w:t>de</w:t>
      </w:r>
      <w:r w:rsidR="00AB3A5A" w:rsidRPr="00AB3A5A">
        <w:rPr>
          <w:rFonts w:ascii="Bookman Old Style" w:hAnsi="Bookman Old Style"/>
          <w:sz w:val="24"/>
          <w:szCs w:val="24"/>
          <w:lang w:val="el-GR"/>
        </w:rPr>
        <w:t xml:space="preserve"> </w:t>
      </w:r>
      <w:r w:rsidR="00AB3A5A" w:rsidRPr="00AB3A5A">
        <w:rPr>
          <w:rFonts w:ascii="Bookman Old Style" w:hAnsi="Bookman Old Style"/>
          <w:sz w:val="24"/>
          <w:szCs w:val="24"/>
        </w:rPr>
        <w:t>facto</w:t>
      </w:r>
      <w:r w:rsidR="00AB3A5A" w:rsidRPr="00AB3A5A">
        <w:rPr>
          <w:rFonts w:ascii="Bookman Old Style" w:hAnsi="Bookman Old Style"/>
          <w:sz w:val="24"/>
          <w:szCs w:val="24"/>
          <w:lang w:val="el-GR"/>
        </w:rPr>
        <w:t xml:space="preserve"> μείωσης των επιτοκίων δανεισμού που προκαλεί, αποτελώντας ως εκ τούτου έμμεση καταστρατήγηση της απαγόρευσης νομισματικής χρηματοδότησης κρατών από την ΕΚΤ</w:t>
      </w:r>
      <w:r w:rsidR="00C318C3">
        <w:rPr>
          <w:rFonts w:ascii="Bookman Old Style" w:hAnsi="Bookman Old Style"/>
          <w:sz w:val="24"/>
          <w:szCs w:val="24"/>
          <w:lang w:val="el-GR"/>
        </w:rPr>
        <w:t>,</w:t>
      </w:r>
      <w:r w:rsidR="00AB3A5A" w:rsidRPr="00AB3A5A">
        <w:rPr>
          <w:rFonts w:ascii="Bookman Old Style" w:hAnsi="Bookman Old Style"/>
          <w:sz w:val="24"/>
          <w:szCs w:val="24"/>
          <w:lang w:val="el-GR"/>
        </w:rPr>
        <w:t xml:space="preserve"> κατά τις διατάξεις του άρθρου 123 παρ. 1</w:t>
      </w:r>
      <w:r w:rsidR="00C318C3">
        <w:rPr>
          <w:rFonts w:ascii="Bookman Old Style" w:hAnsi="Bookman Old Style"/>
          <w:sz w:val="24"/>
          <w:szCs w:val="24"/>
          <w:lang w:val="el-GR"/>
        </w:rPr>
        <w:t xml:space="preserve"> της</w:t>
      </w:r>
      <w:r w:rsidR="00AB3A5A" w:rsidRPr="00AB3A5A">
        <w:rPr>
          <w:rFonts w:ascii="Bookman Old Style" w:hAnsi="Bookman Old Style"/>
          <w:sz w:val="24"/>
          <w:szCs w:val="24"/>
          <w:lang w:val="el-GR"/>
        </w:rPr>
        <w:t xml:space="preserve"> ΣΛΕΕ. </w:t>
      </w:r>
    </w:p>
    <w:p w:rsidR="00315C75" w:rsidRDefault="00315C75" w:rsidP="00303AFA">
      <w:pPr>
        <w:pStyle w:val="1"/>
        <w:spacing w:before="240" w:after="240" w:line="360" w:lineRule="auto"/>
        <w:ind w:left="1134" w:hanging="283"/>
        <w:jc w:val="both"/>
        <w:rPr>
          <w:rFonts w:ascii="Bookman Old Style" w:hAnsi="Bookman Old Style"/>
          <w:sz w:val="24"/>
          <w:szCs w:val="24"/>
          <w:lang w:val="el-GR"/>
        </w:rPr>
      </w:pPr>
      <w:r w:rsidRPr="00315C75">
        <w:rPr>
          <w:rFonts w:ascii="Bookman Old Style" w:hAnsi="Bookman Old Style"/>
          <w:b/>
          <w:sz w:val="24"/>
          <w:szCs w:val="24"/>
          <w:lang w:val="el-GR"/>
        </w:rPr>
        <w:t xml:space="preserve">β) </w:t>
      </w:r>
      <w:r w:rsidR="00AB3A5A" w:rsidRPr="00AB3A5A">
        <w:rPr>
          <w:rFonts w:ascii="Bookman Old Style" w:hAnsi="Bookman Old Style"/>
          <w:sz w:val="24"/>
          <w:szCs w:val="24"/>
          <w:lang w:val="el-GR"/>
        </w:rPr>
        <w:t xml:space="preserve">Ως προς την υπέρβαση της αρμοδιότητας της ΕΚΤ, κρίθηκε από το </w:t>
      </w:r>
      <w:r>
        <w:rPr>
          <w:rFonts w:ascii="Bookman Old Style" w:hAnsi="Bookman Old Style"/>
          <w:sz w:val="24"/>
          <w:szCs w:val="24"/>
          <w:lang w:val="el-GR"/>
        </w:rPr>
        <w:t>Ομοσπονδιακό Συνταγματικό Δικαστήριο της Γερμανίας</w:t>
      </w:r>
      <w:r w:rsidR="00AB3A5A" w:rsidRPr="00AB3A5A">
        <w:rPr>
          <w:rFonts w:ascii="Bookman Old Style" w:hAnsi="Bookman Old Style"/>
          <w:sz w:val="24"/>
          <w:szCs w:val="24"/>
          <w:lang w:val="el-GR"/>
        </w:rPr>
        <w:t xml:space="preserve"> ότι</w:t>
      </w:r>
      <w:r>
        <w:rPr>
          <w:rFonts w:ascii="Bookman Old Style" w:hAnsi="Bookman Old Style"/>
          <w:sz w:val="24"/>
          <w:szCs w:val="24"/>
          <w:lang w:val="el-GR"/>
        </w:rPr>
        <w:t xml:space="preserve">, </w:t>
      </w:r>
      <w:r w:rsidR="00AB3A5A" w:rsidRPr="00AB3A5A">
        <w:rPr>
          <w:rFonts w:ascii="Bookman Old Style" w:hAnsi="Bookman Old Style"/>
          <w:sz w:val="24"/>
          <w:szCs w:val="24"/>
          <w:lang w:val="el-GR"/>
        </w:rPr>
        <w:t xml:space="preserve"> κατ’ εφαρμογή των κριτηρίων της νομολογίας «</w:t>
      </w:r>
      <w:r w:rsidR="00AB3A5A" w:rsidRPr="00AB3A5A">
        <w:rPr>
          <w:rFonts w:ascii="Bookman Old Style" w:hAnsi="Bookman Old Style"/>
          <w:sz w:val="24"/>
          <w:szCs w:val="24"/>
        </w:rPr>
        <w:t>Pringle</w:t>
      </w:r>
      <w:r w:rsidR="00AB3A5A" w:rsidRPr="00AB3A5A">
        <w:rPr>
          <w:rFonts w:ascii="Bookman Old Style" w:hAnsi="Bookman Old Style"/>
          <w:sz w:val="24"/>
          <w:szCs w:val="24"/>
          <w:lang w:val="el-GR"/>
        </w:rPr>
        <w:t>» του ΔΕΕ (</w:t>
      </w:r>
      <w:r w:rsidR="00AB3A5A" w:rsidRPr="00AB3A5A">
        <w:rPr>
          <w:rFonts w:ascii="Bookman Old Style" w:hAnsi="Bookman Old Style"/>
          <w:sz w:val="24"/>
          <w:szCs w:val="24"/>
        </w:rPr>
        <w:t>C</w:t>
      </w:r>
      <w:r w:rsidR="00AB3A5A" w:rsidRPr="00AB3A5A">
        <w:rPr>
          <w:rFonts w:ascii="Bookman Old Style" w:hAnsi="Bookman Old Style"/>
          <w:sz w:val="24"/>
          <w:szCs w:val="24"/>
          <w:lang w:val="el-GR"/>
        </w:rPr>
        <w:t>370/12)</w:t>
      </w:r>
      <w:r>
        <w:rPr>
          <w:rFonts w:ascii="Bookman Old Style" w:hAnsi="Bookman Old Style"/>
          <w:sz w:val="24"/>
          <w:szCs w:val="24"/>
          <w:lang w:val="el-GR"/>
        </w:rPr>
        <w:t>,</w:t>
      </w:r>
      <w:r w:rsidR="00AB3A5A" w:rsidRPr="00AB3A5A">
        <w:rPr>
          <w:rFonts w:ascii="Bookman Old Style" w:hAnsi="Bookman Old Style"/>
          <w:sz w:val="24"/>
          <w:szCs w:val="24"/>
          <w:lang w:val="el-GR"/>
        </w:rPr>
        <w:t xml:space="preserve"> η αγορά κρατικών ομολόγων αποτελεί μέσο άσκησης οικονομικής και δημοσιονομικής και όχι νομισματικής πολιτικής. Συνεπεία τούτου, το πρόγραμμα </w:t>
      </w:r>
      <w:r w:rsidR="002F31C3">
        <w:rPr>
          <w:rFonts w:ascii="Bookman Old Style" w:hAnsi="Bookman Old Style"/>
          <w:sz w:val="24"/>
          <w:szCs w:val="24"/>
          <w:lang w:val="el-GR"/>
        </w:rPr>
        <w:t>«</w:t>
      </w:r>
      <w:r w:rsidR="00AB3A5A" w:rsidRPr="00AB3A5A">
        <w:rPr>
          <w:rFonts w:ascii="Bookman Old Style" w:hAnsi="Bookman Old Style"/>
          <w:sz w:val="24"/>
          <w:szCs w:val="24"/>
          <w:lang w:val="el-GR"/>
        </w:rPr>
        <w:t>ΟΜΤ</w:t>
      </w:r>
      <w:r w:rsidR="002F31C3">
        <w:rPr>
          <w:rFonts w:ascii="Bookman Old Style" w:hAnsi="Bookman Old Style"/>
          <w:sz w:val="24"/>
          <w:szCs w:val="24"/>
          <w:lang w:val="el-GR"/>
        </w:rPr>
        <w:t>»</w:t>
      </w:r>
      <w:r w:rsidR="00AB3A5A" w:rsidRPr="00AB3A5A">
        <w:rPr>
          <w:rFonts w:ascii="Bookman Old Style" w:hAnsi="Bookman Old Style"/>
          <w:sz w:val="24"/>
          <w:szCs w:val="24"/>
          <w:lang w:val="el-GR"/>
        </w:rPr>
        <w:t xml:space="preserve"> δεν καλύπτεται από τις αρμοδιότητες της ΕΚΤ κατά τις διατάξεις των άρθρων 119 και 127επ.</w:t>
      </w:r>
      <w:r w:rsidR="002F31C3">
        <w:rPr>
          <w:rFonts w:ascii="Bookman Old Style" w:hAnsi="Bookman Old Style"/>
          <w:sz w:val="24"/>
          <w:szCs w:val="24"/>
          <w:lang w:val="el-GR"/>
        </w:rPr>
        <w:t xml:space="preserve"> της</w:t>
      </w:r>
      <w:r w:rsidR="00AB3A5A" w:rsidRPr="00AB3A5A">
        <w:rPr>
          <w:rFonts w:ascii="Bookman Old Style" w:hAnsi="Bookman Old Style"/>
          <w:sz w:val="24"/>
          <w:szCs w:val="24"/>
          <w:lang w:val="el-GR"/>
        </w:rPr>
        <w:t xml:space="preserve"> ΣΛΕΕ, σε συνδυασμό με τις διατάξεις των άρθρων 17 επ. του Καταστατικού της ΕΚΤ. Κατ’ αποτέλεσμα, και ενόψει της αρχής της δοτής αρμοδιότητας των οργάνων της Ένωσης, η άσκηση οικονομικής πολιτικής από την ΕΚΤ επιπλέον αντίκειται εμμέσως και στην </w:t>
      </w:r>
      <w:r w:rsidR="002F31C3">
        <w:rPr>
          <w:rFonts w:ascii="Bookman Old Style" w:hAnsi="Bookman Old Style"/>
          <w:sz w:val="24"/>
          <w:szCs w:val="24"/>
          <w:lang w:val="el-GR"/>
        </w:rPr>
        <w:t>Δ</w:t>
      </w:r>
      <w:r w:rsidR="00AB3A5A" w:rsidRPr="00AB3A5A">
        <w:rPr>
          <w:rFonts w:ascii="Bookman Old Style" w:hAnsi="Bookman Old Style"/>
          <w:sz w:val="24"/>
          <w:szCs w:val="24"/>
          <w:lang w:val="el-GR"/>
        </w:rPr>
        <w:t xml:space="preserve">ημοκρατική </w:t>
      </w:r>
      <w:r w:rsidR="002F31C3">
        <w:rPr>
          <w:rFonts w:ascii="Bookman Old Style" w:hAnsi="Bookman Old Style"/>
          <w:sz w:val="24"/>
          <w:szCs w:val="24"/>
          <w:lang w:val="el-GR"/>
        </w:rPr>
        <w:t>Α</w:t>
      </w:r>
      <w:r w:rsidR="00AB3A5A" w:rsidRPr="00AB3A5A">
        <w:rPr>
          <w:rFonts w:ascii="Bookman Old Style" w:hAnsi="Bookman Old Style"/>
          <w:sz w:val="24"/>
          <w:szCs w:val="24"/>
          <w:lang w:val="el-GR"/>
        </w:rPr>
        <w:t xml:space="preserve">ρχή, διότι η αρμοδιότητα άσκησης της οικονομικής πολιτικής παραμένει στα </w:t>
      </w:r>
      <w:r w:rsidR="002F31C3">
        <w:rPr>
          <w:rFonts w:ascii="Bookman Old Style" w:hAnsi="Bookman Old Style"/>
          <w:sz w:val="24"/>
          <w:szCs w:val="24"/>
          <w:lang w:val="el-GR"/>
        </w:rPr>
        <w:t>Κ</w:t>
      </w:r>
      <w:r w:rsidR="00AB3A5A" w:rsidRPr="00AB3A5A">
        <w:rPr>
          <w:rFonts w:ascii="Bookman Old Style" w:hAnsi="Bookman Old Style"/>
          <w:sz w:val="24"/>
          <w:szCs w:val="24"/>
          <w:lang w:val="el-GR"/>
        </w:rPr>
        <w:t>ράτη-</w:t>
      </w:r>
      <w:r w:rsidR="002F31C3">
        <w:rPr>
          <w:rFonts w:ascii="Bookman Old Style" w:hAnsi="Bookman Old Style"/>
          <w:sz w:val="24"/>
          <w:szCs w:val="24"/>
          <w:lang w:val="el-GR"/>
        </w:rPr>
        <w:t>Μ</w:t>
      </w:r>
      <w:r w:rsidR="00AB3A5A" w:rsidRPr="00AB3A5A">
        <w:rPr>
          <w:rFonts w:ascii="Bookman Old Style" w:hAnsi="Bookman Old Style"/>
          <w:sz w:val="24"/>
          <w:szCs w:val="24"/>
          <w:lang w:val="el-GR"/>
        </w:rPr>
        <w:t xml:space="preserve">έλη και </w:t>
      </w:r>
      <w:r w:rsidR="00C1677C">
        <w:rPr>
          <w:rFonts w:ascii="Bookman Old Style" w:hAnsi="Bookman Old Style"/>
          <w:sz w:val="24"/>
          <w:szCs w:val="24"/>
          <w:lang w:val="el-GR"/>
        </w:rPr>
        <w:t>σ</w:t>
      </w:r>
      <w:r w:rsidR="00AB3A5A" w:rsidRPr="00AB3A5A">
        <w:rPr>
          <w:rFonts w:ascii="Bookman Old Style" w:hAnsi="Bookman Old Style"/>
          <w:sz w:val="24"/>
          <w:szCs w:val="24"/>
          <w:lang w:val="el-GR"/>
        </w:rPr>
        <w:t>τα δημοκρατικώς νομιμοποιημένα Εθνικά Κοινοβούλια.</w:t>
      </w:r>
    </w:p>
    <w:p w:rsidR="00AB3A5A" w:rsidRPr="00AB3A5A" w:rsidRDefault="00315C75" w:rsidP="00303AFA">
      <w:pPr>
        <w:pStyle w:val="1"/>
        <w:spacing w:before="240" w:after="240" w:line="360" w:lineRule="auto"/>
        <w:ind w:left="1134" w:hanging="283"/>
        <w:jc w:val="both"/>
        <w:rPr>
          <w:rFonts w:ascii="Bookman Old Style" w:hAnsi="Bookman Old Style"/>
          <w:sz w:val="24"/>
          <w:szCs w:val="24"/>
          <w:lang w:val="el-GR"/>
        </w:rPr>
      </w:pPr>
      <w:r w:rsidRPr="00315C75">
        <w:rPr>
          <w:rFonts w:ascii="Bookman Old Style" w:hAnsi="Bookman Old Style"/>
          <w:b/>
          <w:sz w:val="24"/>
          <w:szCs w:val="24"/>
          <w:lang w:val="el-GR"/>
        </w:rPr>
        <w:t xml:space="preserve">γ) </w:t>
      </w:r>
      <w:r w:rsidR="00AB3A5A" w:rsidRPr="00AB3A5A">
        <w:rPr>
          <w:rFonts w:ascii="Bookman Old Style" w:hAnsi="Bookman Old Style"/>
          <w:sz w:val="24"/>
          <w:szCs w:val="24"/>
          <w:lang w:val="el-GR"/>
        </w:rPr>
        <w:t>Ωστόσο, ήδη στην απόφαση αυτή</w:t>
      </w:r>
      <w:r w:rsidR="00697BF4">
        <w:rPr>
          <w:rFonts w:ascii="Bookman Old Style" w:hAnsi="Bookman Old Style"/>
          <w:sz w:val="24"/>
          <w:szCs w:val="24"/>
          <w:lang w:val="el-GR"/>
        </w:rPr>
        <w:t>,</w:t>
      </w:r>
      <w:r w:rsidR="00AB3A5A" w:rsidRPr="00AB3A5A">
        <w:rPr>
          <w:rFonts w:ascii="Bookman Old Style" w:hAnsi="Bookman Old Style"/>
          <w:sz w:val="24"/>
          <w:szCs w:val="24"/>
          <w:lang w:val="el-GR"/>
        </w:rPr>
        <w:t xml:space="preserve"> το </w:t>
      </w:r>
      <w:r>
        <w:rPr>
          <w:rFonts w:ascii="Bookman Old Style" w:hAnsi="Bookman Old Style"/>
          <w:sz w:val="24"/>
          <w:szCs w:val="24"/>
          <w:lang w:val="el-GR"/>
        </w:rPr>
        <w:t>Ομοσπονδιακό Συνταγματικό Δικαστήριο της Γερμανίας</w:t>
      </w:r>
      <w:r w:rsidR="00AB3A5A" w:rsidRPr="00AB3A5A">
        <w:rPr>
          <w:rFonts w:ascii="Bookman Old Style" w:hAnsi="Bookman Old Style"/>
          <w:sz w:val="24"/>
          <w:szCs w:val="24"/>
          <w:lang w:val="el-GR"/>
        </w:rPr>
        <w:t xml:space="preserve"> διατύπωσε ρητώς την </w:t>
      </w:r>
      <w:r w:rsidR="00AB3A5A" w:rsidRPr="00AB3A5A">
        <w:rPr>
          <w:rFonts w:ascii="Bookman Old Style" w:hAnsi="Bookman Old Style"/>
          <w:sz w:val="24"/>
          <w:szCs w:val="24"/>
          <w:lang w:val="el-GR"/>
        </w:rPr>
        <w:lastRenderedPageBreak/>
        <w:t xml:space="preserve">δυνατότητα μιας σύμφωνης με το </w:t>
      </w:r>
      <w:r w:rsidR="00697BF4">
        <w:rPr>
          <w:rFonts w:ascii="Bookman Old Style" w:hAnsi="Bookman Old Style"/>
          <w:sz w:val="24"/>
          <w:szCs w:val="24"/>
          <w:lang w:val="el-GR"/>
        </w:rPr>
        <w:t>Ε</w:t>
      </w:r>
      <w:r w:rsidR="00AB3A5A" w:rsidRPr="00AB3A5A">
        <w:rPr>
          <w:rFonts w:ascii="Bookman Old Style" w:hAnsi="Bookman Old Style"/>
          <w:sz w:val="24"/>
          <w:szCs w:val="24"/>
          <w:lang w:val="el-GR"/>
        </w:rPr>
        <w:t xml:space="preserve">υρωπαϊκό </w:t>
      </w:r>
      <w:r w:rsidR="00697BF4">
        <w:rPr>
          <w:rFonts w:ascii="Bookman Old Style" w:hAnsi="Bookman Old Style"/>
          <w:sz w:val="24"/>
          <w:szCs w:val="24"/>
          <w:lang w:val="el-GR"/>
        </w:rPr>
        <w:t>Δ</w:t>
      </w:r>
      <w:r w:rsidR="00AB3A5A" w:rsidRPr="00AB3A5A">
        <w:rPr>
          <w:rFonts w:ascii="Bookman Old Style" w:hAnsi="Bookman Old Style"/>
          <w:sz w:val="24"/>
          <w:szCs w:val="24"/>
          <w:lang w:val="el-GR"/>
        </w:rPr>
        <w:t xml:space="preserve">ίκαιο ερμηνείας του προγράμματος </w:t>
      </w:r>
      <w:r w:rsidR="002F31C3">
        <w:rPr>
          <w:rFonts w:ascii="Bookman Old Style" w:hAnsi="Bookman Old Style"/>
          <w:sz w:val="24"/>
          <w:szCs w:val="24"/>
          <w:lang w:val="el-GR"/>
        </w:rPr>
        <w:t>«</w:t>
      </w:r>
      <w:r w:rsidR="00AB3A5A" w:rsidRPr="00AB3A5A">
        <w:rPr>
          <w:rFonts w:ascii="Bookman Old Style" w:hAnsi="Bookman Old Style"/>
          <w:sz w:val="24"/>
          <w:szCs w:val="24"/>
          <w:lang w:val="el-GR"/>
        </w:rPr>
        <w:t>ΟΜΤ</w:t>
      </w:r>
      <w:r w:rsidR="002F31C3">
        <w:rPr>
          <w:rFonts w:ascii="Bookman Old Style" w:hAnsi="Bookman Old Style"/>
          <w:sz w:val="24"/>
          <w:szCs w:val="24"/>
          <w:lang w:val="el-GR"/>
        </w:rPr>
        <w:t>»</w:t>
      </w:r>
      <w:r w:rsidR="00AB3A5A" w:rsidRPr="00AB3A5A">
        <w:rPr>
          <w:rFonts w:ascii="Bookman Old Style" w:hAnsi="Bookman Old Style"/>
          <w:sz w:val="24"/>
          <w:szCs w:val="24"/>
          <w:lang w:val="el-GR"/>
        </w:rPr>
        <w:t>, «υποδεικνύοντας» έτσι στο ΔΕΕ την οδό που έπρεπε ν’ ακολουθήσει</w:t>
      </w:r>
      <w:r w:rsidR="00697BF4">
        <w:rPr>
          <w:rFonts w:ascii="Bookman Old Style" w:hAnsi="Bookman Old Style"/>
          <w:sz w:val="24"/>
          <w:szCs w:val="24"/>
          <w:lang w:val="el-GR"/>
        </w:rPr>
        <w:t>,</w:t>
      </w:r>
      <w:r w:rsidR="00AB3A5A" w:rsidRPr="00AB3A5A">
        <w:rPr>
          <w:rFonts w:ascii="Bookman Old Style" w:hAnsi="Bookman Old Style"/>
          <w:sz w:val="24"/>
          <w:szCs w:val="24"/>
          <w:lang w:val="el-GR"/>
        </w:rPr>
        <w:t xml:space="preserve"> ώστε να μην υπάρξει σύγκρουση μεταξύ </w:t>
      </w:r>
      <w:r w:rsidR="00697BF4">
        <w:rPr>
          <w:rFonts w:ascii="Bookman Old Style" w:hAnsi="Bookman Old Style"/>
          <w:sz w:val="24"/>
          <w:szCs w:val="24"/>
          <w:lang w:val="el-GR"/>
        </w:rPr>
        <w:t>Ε</w:t>
      </w:r>
      <w:r w:rsidR="00AB3A5A" w:rsidRPr="00AB3A5A">
        <w:rPr>
          <w:rFonts w:ascii="Bookman Old Style" w:hAnsi="Bookman Old Style"/>
          <w:sz w:val="24"/>
          <w:szCs w:val="24"/>
          <w:lang w:val="el-GR"/>
        </w:rPr>
        <w:t xml:space="preserve">υρωπαϊκού </w:t>
      </w:r>
      <w:r w:rsidR="00697BF4">
        <w:rPr>
          <w:rFonts w:ascii="Bookman Old Style" w:hAnsi="Bookman Old Style"/>
          <w:sz w:val="24"/>
          <w:szCs w:val="24"/>
          <w:lang w:val="el-GR"/>
        </w:rPr>
        <w:t>Δ</w:t>
      </w:r>
      <w:r w:rsidR="00AB3A5A" w:rsidRPr="00AB3A5A">
        <w:rPr>
          <w:rFonts w:ascii="Bookman Old Style" w:hAnsi="Bookman Old Style"/>
          <w:sz w:val="24"/>
          <w:szCs w:val="24"/>
          <w:lang w:val="el-GR"/>
        </w:rPr>
        <w:t xml:space="preserve">ικαίου και της γερμανικής «συνταγματικής ταυτότητας». </w:t>
      </w:r>
    </w:p>
    <w:p w:rsidR="00AB3A5A" w:rsidRPr="00AB3A5A" w:rsidRDefault="00315C75" w:rsidP="00303AFA">
      <w:pPr>
        <w:pStyle w:val="1"/>
        <w:spacing w:before="240" w:after="240" w:line="360" w:lineRule="auto"/>
        <w:ind w:left="567" w:hanging="283"/>
        <w:jc w:val="both"/>
        <w:rPr>
          <w:rFonts w:ascii="Bookman Old Style" w:hAnsi="Bookman Old Style"/>
          <w:b/>
          <w:sz w:val="24"/>
          <w:szCs w:val="24"/>
          <w:lang w:val="el-GR"/>
        </w:rPr>
      </w:pPr>
      <w:r>
        <w:rPr>
          <w:rFonts w:ascii="Bookman Old Style" w:hAnsi="Bookman Old Style"/>
          <w:b/>
          <w:sz w:val="24"/>
          <w:szCs w:val="24"/>
          <w:lang w:val="el-GR"/>
        </w:rPr>
        <w:t xml:space="preserve">Β. </w:t>
      </w:r>
      <w:r w:rsidR="00AB3A5A" w:rsidRPr="00AB3A5A">
        <w:rPr>
          <w:rFonts w:ascii="Bookman Old Style" w:hAnsi="Bookman Old Style"/>
          <w:b/>
          <w:sz w:val="24"/>
          <w:szCs w:val="24"/>
          <w:lang w:val="el-GR"/>
        </w:rPr>
        <w:t xml:space="preserve">Η απόφαση του ΔΕΕ: Η άσκηση νομισματικής πολιτικής ως σκοπός του προγράμματος </w:t>
      </w:r>
      <w:r w:rsidR="00DF35A2">
        <w:rPr>
          <w:rFonts w:ascii="Bookman Old Style" w:hAnsi="Bookman Old Style"/>
          <w:b/>
          <w:sz w:val="24"/>
          <w:szCs w:val="24"/>
          <w:lang w:val="el-GR"/>
        </w:rPr>
        <w:t>«</w:t>
      </w:r>
      <w:r w:rsidR="00AB3A5A" w:rsidRPr="00AB3A5A">
        <w:rPr>
          <w:rFonts w:ascii="Bookman Old Style" w:hAnsi="Bookman Old Style"/>
          <w:b/>
          <w:sz w:val="24"/>
          <w:szCs w:val="24"/>
          <w:lang w:val="el-GR"/>
        </w:rPr>
        <w:t>ΟΜΤ</w:t>
      </w:r>
      <w:r w:rsidR="00DF35A2">
        <w:rPr>
          <w:rFonts w:ascii="Bookman Old Style" w:hAnsi="Bookman Old Style"/>
          <w:b/>
          <w:sz w:val="24"/>
          <w:szCs w:val="24"/>
          <w:lang w:val="el-GR"/>
        </w:rPr>
        <w:t>»</w:t>
      </w:r>
      <w:r>
        <w:rPr>
          <w:rFonts w:ascii="Bookman Old Style" w:hAnsi="Bookman Old Style"/>
          <w:b/>
          <w:sz w:val="24"/>
          <w:szCs w:val="24"/>
          <w:lang w:val="el-GR"/>
        </w:rPr>
        <w:t>.</w:t>
      </w:r>
      <w:r w:rsidR="00AB3A5A" w:rsidRPr="00AB3A5A">
        <w:rPr>
          <w:rFonts w:ascii="Bookman Old Style" w:hAnsi="Bookman Old Style"/>
          <w:b/>
          <w:sz w:val="24"/>
          <w:szCs w:val="24"/>
          <w:lang w:val="el-GR"/>
        </w:rPr>
        <w:t xml:space="preserve"> </w:t>
      </w:r>
    </w:p>
    <w:p w:rsidR="00AB3A5A" w:rsidRPr="00AB3A5A" w:rsidRDefault="00AB3A5A" w:rsidP="00303AFA">
      <w:pPr>
        <w:pStyle w:val="1"/>
        <w:spacing w:before="240" w:after="240" w:line="360" w:lineRule="auto"/>
        <w:ind w:left="567"/>
        <w:jc w:val="both"/>
        <w:rPr>
          <w:rFonts w:ascii="Bookman Old Style" w:hAnsi="Bookman Old Style"/>
          <w:sz w:val="24"/>
          <w:szCs w:val="24"/>
          <w:lang w:val="el-GR"/>
        </w:rPr>
      </w:pPr>
      <w:r w:rsidRPr="00AB3A5A">
        <w:rPr>
          <w:rFonts w:ascii="Bookman Old Style" w:hAnsi="Bookman Old Style"/>
          <w:sz w:val="24"/>
          <w:szCs w:val="24"/>
          <w:lang w:val="el-GR"/>
        </w:rPr>
        <w:t xml:space="preserve">Το ΔΕΕ, με την απόφασή του της 16.6.2015, προέβη σε σύμφωνη με το πρωτογενές </w:t>
      </w:r>
      <w:r w:rsidR="00315C75">
        <w:rPr>
          <w:rFonts w:ascii="Bookman Old Style" w:hAnsi="Bookman Old Style"/>
          <w:sz w:val="24"/>
          <w:szCs w:val="24"/>
          <w:lang w:val="el-GR"/>
        </w:rPr>
        <w:t>Ε</w:t>
      </w:r>
      <w:r w:rsidRPr="00AB3A5A">
        <w:rPr>
          <w:rFonts w:ascii="Bookman Old Style" w:hAnsi="Bookman Old Style"/>
          <w:sz w:val="24"/>
          <w:szCs w:val="24"/>
          <w:lang w:val="el-GR"/>
        </w:rPr>
        <w:t xml:space="preserve">υρωπαϊκό </w:t>
      </w:r>
      <w:r w:rsidR="00315C75">
        <w:rPr>
          <w:rFonts w:ascii="Bookman Old Style" w:hAnsi="Bookman Old Style"/>
          <w:sz w:val="24"/>
          <w:szCs w:val="24"/>
          <w:lang w:val="el-GR"/>
        </w:rPr>
        <w:t>Δ</w:t>
      </w:r>
      <w:r w:rsidRPr="00AB3A5A">
        <w:rPr>
          <w:rFonts w:ascii="Bookman Old Style" w:hAnsi="Bookman Old Style"/>
          <w:sz w:val="24"/>
          <w:szCs w:val="24"/>
          <w:lang w:val="el-GR"/>
        </w:rPr>
        <w:t xml:space="preserve">ίκαιο ερμηνεία, κρίνοντας ότι το πρόγραμμα ΟΜΤ καλύπτεται από τις αρμοδιότητες της ΕΚΤ και δεν συνεπάγεται έμμεση καταστρατήγηση της απαγόρευσης νομισματικής χρηματοδότησης </w:t>
      </w:r>
      <w:r w:rsidR="00DF35A2">
        <w:rPr>
          <w:rFonts w:ascii="Bookman Old Style" w:hAnsi="Bookman Old Style"/>
          <w:sz w:val="24"/>
          <w:szCs w:val="24"/>
          <w:lang w:val="el-GR"/>
        </w:rPr>
        <w:t>Κ</w:t>
      </w:r>
      <w:r w:rsidRPr="00AB3A5A">
        <w:rPr>
          <w:rFonts w:ascii="Bookman Old Style" w:hAnsi="Bookman Old Style"/>
          <w:sz w:val="24"/>
          <w:szCs w:val="24"/>
          <w:lang w:val="el-GR"/>
        </w:rPr>
        <w:t>ρατών από την ΕΚΤ, κατά την έννοια των διατάξεων του άρθρου 123 παρ. 1</w:t>
      </w:r>
      <w:r w:rsidR="00DF35A2">
        <w:rPr>
          <w:rFonts w:ascii="Bookman Old Style" w:hAnsi="Bookman Old Style"/>
          <w:sz w:val="24"/>
          <w:szCs w:val="24"/>
          <w:lang w:val="el-GR"/>
        </w:rPr>
        <w:t xml:space="preserve"> της</w:t>
      </w:r>
      <w:r w:rsidRPr="00AB3A5A">
        <w:rPr>
          <w:rFonts w:ascii="Bookman Old Style" w:hAnsi="Bookman Old Style"/>
          <w:sz w:val="24"/>
          <w:szCs w:val="24"/>
          <w:lang w:val="el-GR"/>
        </w:rPr>
        <w:t xml:space="preserve"> ΣΛΕΕ. </w:t>
      </w:r>
      <w:r w:rsidR="00315C75">
        <w:rPr>
          <w:rFonts w:ascii="Bookman Old Style" w:hAnsi="Bookman Old Style"/>
          <w:sz w:val="24"/>
          <w:szCs w:val="24"/>
          <w:lang w:val="el-GR"/>
        </w:rPr>
        <w:t xml:space="preserve"> </w:t>
      </w:r>
      <w:r w:rsidRPr="00AB3A5A">
        <w:rPr>
          <w:rFonts w:ascii="Bookman Old Style" w:hAnsi="Bookman Old Style"/>
          <w:sz w:val="24"/>
          <w:szCs w:val="24"/>
          <w:lang w:val="el-GR"/>
        </w:rPr>
        <w:t>Ειδικότερα, με την απόφασή του αυτή το ΔΕΕ αφενός εξήγγειλε</w:t>
      </w:r>
      <w:r w:rsidR="00707792">
        <w:rPr>
          <w:rFonts w:ascii="Bookman Old Style" w:hAnsi="Bookman Old Style"/>
          <w:sz w:val="24"/>
          <w:szCs w:val="24"/>
          <w:lang w:val="el-GR"/>
        </w:rPr>
        <w:t xml:space="preserve"> </w:t>
      </w:r>
      <w:r w:rsidRPr="00AB3A5A">
        <w:rPr>
          <w:rFonts w:ascii="Bookman Old Style" w:hAnsi="Bookman Old Style"/>
          <w:sz w:val="24"/>
          <w:szCs w:val="24"/>
          <w:lang w:val="el-GR"/>
        </w:rPr>
        <w:t xml:space="preserve">τις προϋποθέσεις που θα πρέπει να συντρέχουν  προκειμένου, γενικώς,  ένα πρόγραμμα αγοράς κρατικών ομολόγων στην δευτερογενή αγορά να μην εξέρχεται των σαφώς καθορισμένων  ορίων  για την άσκηση της νομισματικής πολιτικής της Ένωσης </w:t>
      </w:r>
      <w:r w:rsidR="00697BF4">
        <w:rPr>
          <w:rFonts w:ascii="Bookman Old Style" w:hAnsi="Bookman Old Style"/>
          <w:sz w:val="24"/>
          <w:szCs w:val="24"/>
          <w:lang w:val="el-GR"/>
        </w:rPr>
        <w:t>-</w:t>
      </w:r>
      <w:r w:rsidRPr="00AB3A5A">
        <w:rPr>
          <w:rFonts w:ascii="Bookman Old Style" w:hAnsi="Bookman Old Style"/>
          <w:sz w:val="24"/>
          <w:szCs w:val="24"/>
          <w:lang w:val="el-GR"/>
        </w:rPr>
        <w:t xml:space="preserve">άρθρο 282 </w:t>
      </w:r>
      <w:r w:rsidR="00697BF4">
        <w:rPr>
          <w:rFonts w:ascii="Bookman Old Style" w:hAnsi="Bookman Old Style"/>
          <w:sz w:val="24"/>
          <w:szCs w:val="24"/>
          <w:lang w:val="el-GR"/>
        </w:rPr>
        <w:t xml:space="preserve">της </w:t>
      </w:r>
      <w:r w:rsidRPr="00AB3A5A">
        <w:rPr>
          <w:rFonts w:ascii="Bookman Old Style" w:hAnsi="Bookman Old Style"/>
          <w:sz w:val="24"/>
          <w:szCs w:val="24"/>
          <w:lang w:val="el-GR"/>
        </w:rPr>
        <w:t>ΣΛΕΕ</w:t>
      </w:r>
      <w:r w:rsidR="0035421B">
        <w:rPr>
          <w:rFonts w:ascii="Bookman Old Style" w:hAnsi="Bookman Old Style"/>
          <w:sz w:val="24"/>
          <w:szCs w:val="24"/>
          <w:lang w:val="el-GR"/>
        </w:rPr>
        <w:t>-</w:t>
      </w:r>
      <w:r w:rsidRPr="00AB3A5A">
        <w:rPr>
          <w:rFonts w:ascii="Bookman Old Style" w:hAnsi="Bookman Old Style"/>
          <w:sz w:val="24"/>
          <w:szCs w:val="24"/>
          <w:lang w:val="el-GR"/>
        </w:rPr>
        <w:t xml:space="preserve"> και να μην καταστρατηγεί, </w:t>
      </w:r>
      <w:r w:rsidRPr="00AB3A5A">
        <w:rPr>
          <w:rFonts w:ascii="Bookman Old Style" w:hAnsi="Bookman Old Style"/>
          <w:sz w:val="24"/>
          <w:szCs w:val="24"/>
        </w:rPr>
        <w:t>de</w:t>
      </w:r>
      <w:r w:rsidRPr="00AB3A5A">
        <w:rPr>
          <w:rFonts w:ascii="Bookman Old Style" w:hAnsi="Bookman Old Style"/>
          <w:sz w:val="24"/>
          <w:szCs w:val="24"/>
          <w:lang w:val="el-GR"/>
        </w:rPr>
        <w:t xml:space="preserve"> </w:t>
      </w:r>
      <w:r w:rsidRPr="00AB3A5A">
        <w:rPr>
          <w:rFonts w:ascii="Bookman Old Style" w:hAnsi="Bookman Old Style"/>
          <w:sz w:val="24"/>
          <w:szCs w:val="24"/>
        </w:rPr>
        <w:t>facto</w:t>
      </w:r>
      <w:r w:rsidRPr="00AB3A5A">
        <w:rPr>
          <w:rFonts w:ascii="Bookman Old Style" w:hAnsi="Bookman Old Style"/>
          <w:sz w:val="24"/>
          <w:szCs w:val="24"/>
          <w:lang w:val="el-GR"/>
        </w:rPr>
        <w:t xml:space="preserve">, την απαγόρευση νομισματικής χρηματοδότησης των </w:t>
      </w:r>
      <w:r w:rsidR="0019486E">
        <w:rPr>
          <w:rFonts w:ascii="Bookman Old Style" w:hAnsi="Bookman Old Style"/>
          <w:sz w:val="24"/>
          <w:szCs w:val="24"/>
          <w:lang w:val="el-GR"/>
        </w:rPr>
        <w:t>Κ</w:t>
      </w:r>
      <w:r w:rsidRPr="00AB3A5A">
        <w:rPr>
          <w:rFonts w:ascii="Bookman Old Style" w:hAnsi="Bookman Old Style"/>
          <w:sz w:val="24"/>
          <w:szCs w:val="24"/>
          <w:lang w:val="el-GR"/>
        </w:rPr>
        <w:t>ρατών-</w:t>
      </w:r>
      <w:r w:rsidR="0019486E">
        <w:rPr>
          <w:rFonts w:ascii="Bookman Old Style" w:hAnsi="Bookman Old Style"/>
          <w:sz w:val="24"/>
          <w:szCs w:val="24"/>
          <w:lang w:val="el-GR"/>
        </w:rPr>
        <w:t>Μ</w:t>
      </w:r>
      <w:r w:rsidRPr="00AB3A5A">
        <w:rPr>
          <w:rFonts w:ascii="Bookman Old Style" w:hAnsi="Bookman Old Style"/>
          <w:sz w:val="24"/>
          <w:szCs w:val="24"/>
          <w:lang w:val="el-GR"/>
        </w:rPr>
        <w:t>ελών</w:t>
      </w:r>
      <w:r w:rsidR="00697BF4">
        <w:rPr>
          <w:rFonts w:ascii="Bookman Old Style" w:hAnsi="Bookman Old Style"/>
          <w:sz w:val="24"/>
          <w:szCs w:val="24"/>
          <w:lang w:val="el-GR"/>
        </w:rPr>
        <w:t xml:space="preserve">, κατά </w:t>
      </w:r>
      <w:r w:rsidR="0035421B">
        <w:rPr>
          <w:rFonts w:ascii="Bookman Old Style" w:hAnsi="Bookman Old Style"/>
          <w:sz w:val="24"/>
          <w:szCs w:val="24"/>
          <w:lang w:val="el-GR"/>
        </w:rPr>
        <w:t xml:space="preserve">τις διατάξεις </w:t>
      </w:r>
      <w:r w:rsidR="00697BF4">
        <w:rPr>
          <w:rFonts w:ascii="Bookman Old Style" w:hAnsi="Bookman Old Style"/>
          <w:sz w:val="24"/>
          <w:szCs w:val="24"/>
          <w:lang w:val="el-GR"/>
        </w:rPr>
        <w:t>το</w:t>
      </w:r>
      <w:r w:rsidR="0035421B">
        <w:rPr>
          <w:rFonts w:ascii="Bookman Old Style" w:hAnsi="Bookman Old Style"/>
          <w:sz w:val="24"/>
          <w:szCs w:val="24"/>
          <w:lang w:val="el-GR"/>
        </w:rPr>
        <w:t>υ</w:t>
      </w:r>
      <w:r w:rsidR="00697BF4">
        <w:rPr>
          <w:rFonts w:ascii="Bookman Old Style" w:hAnsi="Bookman Old Style"/>
          <w:sz w:val="24"/>
          <w:szCs w:val="24"/>
          <w:lang w:val="el-GR"/>
        </w:rPr>
        <w:t xml:space="preserve"> </w:t>
      </w:r>
      <w:r w:rsidRPr="00AB3A5A">
        <w:rPr>
          <w:rFonts w:ascii="Bookman Old Style" w:hAnsi="Bookman Old Style"/>
          <w:sz w:val="24"/>
          <w:szCs w:val="24"/>
          <w:lang w:val="el-GR"/>
        </w:rPr>
        <w:t>άρθρο</w:t>
      </w:r>
      <w:r w:rsidR="0035421B">
        <w:rPr>
          <w:rFonts w:ascii="Bookman Old Style" w:hAnsi="Bookman Old Style"/>
          <w:sz w:val="24"/>
          <w:szCs w:val="24"/>
          <w:lang w:val="el-GR"/>
        </w:rPr>
        <w:t>υ</w:t>
      </w:r>
      <w:r w:rsidRPr="00AB3A5A">
        <w:rPr>
          <w:rFonts w:ascii="Bookman Old Style" w:hAnsi="Bookman Old Style"/>
          <w:sz w:val="24"/>
          <w:szCs w:val="24"/>
          <w:lang w:val="el-GR"/>
        </w:rPr>
        <w:t xml:space="preserve"> 123 παρ. 1 </w:t>
      </w:r>
      <w:r w:rsidR="00707792">
        <w:rPr>
          <w:rFonts w:ascii="Bookman Old Style" w:hAnsi="Bookman Old Style"/>
          <w:sz w:val="24"/>
          <w:szCs w:val="24"/>
          <w:lang w:val="el-GR"/>
        </w:rPr>
        <w:t xml:space="preserve">της </w:t>
      </w:r>
      <w:r w:rsidRPr="00AB3A5A">
        <w:rPr>
          <w:rFonts w:ascii="Bookman Old Style" w:hAnsi="Bookman Old Style"/>
          <w:sz w:val="24"/>
          <w:szCs w:val="24"/>
          <w:lang w:val="el-GR"/>
        </w:rPr>
        <w:t xml:space="preserve">ΣΛΕΕ. </w:t>
      </w:r>
      <w:r w:rsidR="00093176">
        <w:rPr>
          <w:rFonts w:ascii="Bookman Old Style" w:hAnsi="Bookman Old Style"/>
          <w:sz w:val="24"/>
          <w:szCs w:val="24"/>
          <w:lang w:val="el-GR"/>
        </w:rPr>
        <w:t>Και, α</w:t>
      </w:r>
      <w:r w:rsidRPr="00AB3A5A">
        <w:rPr>
          <w:rFonts w:ascii="Bookman Old Style" w:hAnsi="Bookman Old Style"/>
          <w:sz w:val="24"/>
          <w:szCs w:val="24"/>
          <w:lang w:val="el-GR"/>
        </w:rPr>
        <w:t>φετέρου</w:t>
      </w:r>
      <w:r w:rsidR="00093176">
        <w:rPr>
          <w:rFonts w:ascii="Bookman Old Style" w:hAnsi="Bookman Old Style"/>
          <w:sz w:val="24"/>
          <w:szCs w:val="24"/>
          <w:lang w:val="el-GR"/>
        </w:rPr>
        <w:t>,</w:t>
      </w:r>
      <w:r w:rsidRPr="00AB3A5A">
        <w:rPr>
          <w:rFonts w:ascii="Bookman Old Style" w:hAnsi="Bookman Old Style"/>
          <w:sz w:val="24"/>
          <w:szCs w:val="24"/>
          <w:lang w:val="el-GR"/>
        </w:rPr>
        <w:t xml:space="preserve"> εξέτασε  την  δομή και τα συγκεκριμένα επιμέρους χαρακτηριστικά του προγράμματος </w:t>
      </w:r>
      <w:r w:rsidR="00093176">
        <w:rPr>
          <w:rFonts w:ascii="Bookman Old Style" w:hAnsi="Bookman Old Style"/>
          <w:sz w:val="24"/>
          <w:szCs w:val="24"/>
          <w:lang w:val="el-GR"/>
        </w:rPr>
        <w:t>«</w:t>
      </w:r>
      <w:r w:rsidRPr="00AB3A5A">
        <w:rPr>
          <w:rFonts w:ascii="Bookman Old Style" w:hAnsi="Bookman Old Style"/>
          <w:sz w:val="24"/>
          <w:szCs w:val="24"/>
          <w:lang w:val="el-GR"/>
        </w:rPr>
        <w:t>ΟΜΤ</w:t>
      </w:r>
      <w:r w:rsidR="00093176">
        <w:rPr>
          <w:rFonts w:ascii="Bookman Old Style" w:hAnsi="Bookman Old Style"/>
          <w:sz w:val="24"/>
          <w:szCs w:val="24"/>
          <w:lang w:val="el-GR"/>
        </w:rPr>
        <w:t>»</w:t>
      </w:r>
      <w:r w:rsidRPr="00AB3A5A">
        <w:rPr>
          <w:rFonts w:ascii="Bookman Old Style" w:hAnsi="Bookman Old Style"/>
          <w:sz w:val="24"/>
          <w:szCs w:val="24"/>
          <w:lang w:val="el-GR"/>
        </w:rPr>
        <w:t xml:space="preserve">, προκειμένου να κρίνει αν πληρούνται οι  προϋποθέσεις αυτές.  </w:t>
      </w:r>
    </w:p>
    <w:p w:rsidR="00093176" w:rsidRPr="00093176" w:rsidRDefault="00922FA0" w:rsidP="00303AFA">
      <w:pPr>
        <w:pStyle w:val="1"/>
        <w:spacing w:before="240" w:after="240" w:line="360" w:lineRule="auto"/>
        <w:ind w:left="851" w:hanging="284"/>
        <w:jc w:val="both"/>
        <w:rPr>
          <w:rFonts w:ascii="Bookman Old Style" w:hAnsi="Bookman Old Style"/>
          <w:b/>
          <w:sz w:val="24"/>
          <w:szCs w:val="24"/>
          <w:lang w:val="el-GR"/>
        </w:rPr>
      </w:pPr>
      <w:r>
        <w:rPr>
          <w:rFonts w:ascii="Bookman Old Style" w:hAnsi="Bookman Old Style"/>
          <w:b/>
          <w:sz w:val="24"/>
          <w:szCs w:val="24"/>
          <w:lang w:val="el-GR"/>
        </w:rPr>
        <w:t>1</w:t>
      </w:r>
      <w:r w:rsidR="00AB3A5A" w:rsidRPr="00AB3A5A">
        <w:rPr>
          <w:rFonts w:ascii="Bookman Old Style" w:hAnsi="Bookman Old Style"/>
          <w:b/>
          <w:sz w:val="24"/>
          <w:szCs w:val="24"/>
          <w:lang w:val="el-GR"/>
        </w:rPr>
        <w:t xml:space="preserve">. </w:t>
      </w:r>
      <w:r w:rsidR="00093176">
        <w:rPr>
          <w:rFonts w:ascii="Bookman Old Style" w:hAnsi="Bookman Old Style"/>
          <w:b/>
          <w:sz w:val="24"/>
          <w:szCs w:val="24"/>
          <w:lang w:val="el-GR"/>
        </w:rPr>
        <w:t>Οι προϋποθέσεις νομιμότητας του προγράμματος «ΟΜΤ».</w:t>
      </w:r>
    </w:p>
    <w:p w:rsidR="00AB3A5A" w:rsidRPr="00AB3A5A" w:rsidRDefault="00AB3A5A" w:rsidP="00303AFA">
      <w:pPr>
        <w:pStyle w:val="1"/>
        <w:spacing w:before="240" w:after="240" w:line="360" w:lineRule="auto"/>
        <w:ind w:left="851" w:hanging="131"/>
        <w:jc w:val="both"/>
        <w:rPr>
          <w:rFonts w:ascii="Bookman Old Style" w:hAnsi="Bookman Old Style"/>
          <w:i/>
          <w:sz w:val="24"/>
          <w:szCs w:val="24"/>
          <w:lang w:val="el-GR"/>
        </w:rPr>
      </w:pPr>
      <w:r w:rsidRPr="00AB3A5A">
        <w:rPr>
          <w:rFonts w:ascii="Bookman Old Style" w:hAnsi="Bookman Old Style"/>
          <w:sz w:val="24"/>
          <w:szCs w:val="24"/>
          <w:lang w:val="el-GR"/>
        </w:rPr>
        <w:t xml:space="preserve">Το ΔΕΕ έκρινε ότι ένα πρόγραμμα αγοράς κρατικών ομολόγων στην δευτερογενή αγορά από το ΕΣΚΤ (Ευρωπαϊκό Σύστημα Κεντρικών Τραπεζών, ήτοι ΕΚΤ και Κεντρικές Τράπεζες </w:t>
      </w:r>
      <w:r w:rsidR="00922FA0">
        <w:rPr>
          <w:rFonts w:ascii="Bookman Old Style" w:hAnsi="Bookman Old Style"/>
          <w:sz w:val="24"/>
          <w:szCs w:val="24"/>
          <w:lang w:val="el-GR"/>
        </w:rPr>
        <w:t>Κ</w:t>
      </w:r>
      <w:r w:rsidRPr="00AB3A5A">
        <w:rPr>
          <w:rFonts w:ascii="Bookman Old Style" w:hAnsi="Bookman Old Style"/>
          <w:sz w:val="24"/>
          <w:szCs w:val="24"/>
          <w:lang w:val="el-GR"/>
        </w:rPr>
        <w:t>ρατών-</w:t>
      </w:r>
      <w:r w:rsidR="00922FA0">
        <w:rPr>
          <w:rFonts w:ascii="Bookman Old Style" w:hAnsi="Bookman Old Style"/>
          <w:sz w:val="24"/>
          <w:szCs w:val="24"/>
          <w:lang w:val="el-GR"/>
        </w:rPr>
        <w:t>Μ</w:t>
      </w:r>
      <w:r w:rsidRPr="00AB3A5A">
        <w:rPr>
          <w:rFonts w:ascii="Bookman Old Style" w:hAnsi="Bookman Old Style"/>
          <w:sz w:val="24"/>
          <w:szCs w:val="24"/>
          <w:lang w:val="el-GR"/>
        </w:rPr>
        <w:t>ελών) θα πρέπει να πληροί, σωρευτικώς, τρεις βασικές προϋποθέσεις:</w:t>
      </w:r>
    </w:p>
    <w:p w:rsidR="00922FA0" w:rsidRDefault="00922FA0" w:rsidP="00303AFA">
      <w:pPr>
        <w:pStyle w:val="1"/>
        <w:spacing w:before="240" w:after="240" w:line="360" w:lineRule="auto"/>
        <w:ind w:left="1134" w:hanging="283"/>
        <w:jc w:val="both"/>
        <w:rPr>
          <w:rFonts w:ascii="Bookman Old Style" w:hAnsi="Bookman Old Style"/>
          <w:sz w:val="24"/>
          <w:szCs w:val="24"/>
          <w:lang w:val="el-GR"/>
        </w:rPr>
      </w:pPr>
      <w:r>
        <w:rPr>
          <w:rFonts w:ascii="Bookman Old Style" w:hAnsi="Bookman Old Style"/>
          <w:b/>
          <w:sz w:val="24"/>
          <w:szCs w:val="24"/>
          <w:lang w:val="el-GR"/>
        </w:rPr>
        <w:t>α)</w:t>
      </w:r>
      <w:r w:rsidR="00AB3A5A" w:rsidRPr="00AB3A5A">
        <w:rPr>
          <w:rFonts w:ascii="Bookman Old Style" w:hAnsi="Bookman Old Style"/>
          <w:sz w:val="24"/>
          <w:szCs w:val="24"/>
          <w:lang w:val="el-GR"/>
        </w:rPr>
        <w:t xml:space="preserve"> Το μέτρο της αγοράς κρατικών ομολόγων στην δευτερογενή αγορά θα πρέπει σαφώς να εντάσσεται στη νομισματική </w:t>
      </w:r>
      <w:r w:rsidR="00AB3A5A" w:rsidRPr="00AB3A5A">
        <w:rPr>
          <w:rFonts w:ascii="Bookman Old Style" w:hAnsi="Bookman Old Style"/>
          <w:sz w:val="24"/>
          <w:szCs w:val="24"/>
          <w:lang w:val="el-GR"/>
        </w:rPr>
        <w:lastRenderedPageBreak/>
        <w:t>πολιτική. Προκειμένου τούτο να συντρέχει  -και, ως εκ τούτου, να θεμελιώνεται   αρμοδιότητα του ΕΣΚΤ και της ΕΚΤ- θα πρέπει να εξετάζονται κυρίως οι επιδιωκόμενοι μ</w:t>
      </w:r>
      <w:r w:rsidR="00093176">
        <w:rPr>
          <w:rFonts w:ascii="Bookman Old Style" w:hAnsi="Bookman Old Style"/>
          <w:sz w:val="24"/>
          <w:szCs w:val="24"/>
          <w:lang w:val="el-GR"/>
        </w:rPr>
        <w:t>ε</w:t>
      </w:r>
      <w:r w:rsidR="00AB3A5A" w:rsidRPr="00AB3A5A">
        <w:rPr>
          <w:rFonts w:ascii="Bookman Old Style" w:hAnsi="Bookman Old Style"/>
          <w:sz w:val="24"/>
          <w:szCs w:val="24"/>
          <w:lang w:val="el-GR"/>
        </w:rPr>
        <w:t xml:space="preserve"> αυτό σκοποί και τα  μέσα που προβλέπονται για την επίτευξη των σκοπών τούτων (βλ. σκ. 46, με παραπομπή στην  απόφαση «</w:t>
      </w:r>
      <w:r w:rsidR="00AB3A5A" w:rsidRPr="00AB3A5A">
        <w:rPr>
          <w:rFonts w:ascii="Bookman Old Style" w:hAnsi="Bookman Old Style"/>
          <w:sz w:val="24"/>
          <w:szCs w:val="24"/>
        </w:rPr>
        <w:t>Pringle</w:t>
      </w:r>
      <w:r w:rsidR="00AB3A5A" w:rsidRPr="00AB3A5A">
        <w:rPr>
          <w:rFonts w:ascii="Bookman Old Style" w:hAnsi="Bookman Old Style"/>
          <w:sz w:val="24"/>
          <w:szCs w:val="24"/>
          <w:lang w:val="el-GR"/>
        </w:rPr>
        <w:t>», σκ. 53 και 55).</w:t>
      </w:r>
    </w:p>
    <w:p w:rsidR="00922FA0" w:rsidRDefault="00922FA0" w:rsidP="00303AFA">
      <w:pPr>
        <w:pStyle w:val="1"/>
        <w:spacing w:before="240" w:after="240" w:line="360" w:lineRule="auto"/>
        <w:ind w:left="1134" w:hanging="283"/>
        <w:jc w:val="both"/>
        <w:rPr>
          <w:rFonts w:ascii="Bookman Old Style" w:hAnsi="Bookman Old Style"/>
          <w:sz w:val="24"/>
          <w:szCs w:val="24"/>
          <w:lang w:val="el-GR"/>
        </w:rPr>
      </w:pPr>
      <w:r>
        <w:rPr>
          <w:rFonts w:ascii="Bookman Old Style" w:hAnsi="Bookman Old Style"/>
          <w:b/>
          <w:sz w:val="24"/>
          <w:szCs w:val="24"/>
          <w:lang w:val="el-GR"/>
        </w:rPr>
        <w:t>β)</w:t>
      </w:r>
      <w:r w:rsidR="00AB3A5A" w:rsidRPr="00AB3A5A">
        <w:rPr>
          <w:rFonts w:ascii="Bookman Old Style" w:hAnsi="Bookman Old Style"/>
          <w:b/>
          <w:sz w:val="24"/>
          <w:szCs w:val="24"/>
          <w:lang w:val="el-GR"/>
        </w:rPr>
        <w:t xml:space="preserve"> </w:t>
      </w:r>
      <w:r w:rsidR="00AB3A5A" w:rsidRPr="00AB3A5A">
        <w:rPr>
          <w:rFonts w:ascii="Bookman Old Style" w:hAnsi="Bookman Old Style"/>
          <w:sz w:val="24"/>
          <w:szCs w:val="24"/>
          <w:lang w:val="el-GR"/>
        </w:rPr>
        <w:t>Εφόσον ένα τέτοιο πρόγραμμα  εντάσσεται στη</w:t>
      </w:r>
      <w:r w:rsidR="00093176">
        <w:rPr>
          <w:rFonts w:ascii="Bookman Old Style" w:hAnsi="Bookman Old Style"/>
          <w:sz w:val="24"/>
          <w:szCs w:val="24"/>
          <w:lang w:val="el-GR"/>
        </w:rPr>
        <w:t>ν</w:t>
      </w:r>
      <w:r w:rsidR="00AB3A5A" w:rsidRPr="00AB3A5A">
        <w:rPr>
          <w:rFonts w:ascii="Bookman Old Style" w:hAnsi="Bookman Old Style"/>
          <w:sz w:val="24"/>
          <w:szCs w:val="24"/>
          <w:lang w:val="el-GR"/>
        </w:rPr>
        <w:t xml:space="preserve"> νομισματική πολιτική, μπορεί εγκύρως να θεσπίζεται και να εφαρμόζεται </w:t>
      </w:r>
      <w:r w:rsidR="00093176">
        <w:rPr>
          <w:rFonts w:ascii="Bookman Old Style" w:hAnsi="Bookman Old Style"/>
          <w:sz w:val="24"/>
          <w:szCs w:val="24"/>
          <w:lang w:val="el-GR"/>
        </w:rPr>
        <w:t>-</w:t>
      </w:r>
      <w:r w:rsidR="00AB3A5A" w:rsidRPr="00AB3A5A">
        <w:rPr>
          <w:rFonts w:ascii="Bookman Old Style" w:hAnsi="Bookman Old Style"/>
          <w:sz w:val="24"/>
          <w:szCs w:val="24"/>
          <w:lang w:val="el-GR"/>
        </w:rPr>
        <w:t>όπως συνάγεται από τις διατάξεις των άρθ</w:t>
      </w:r>
      <w:r w:rsidR="00093176">
        <w:rPr>
          <w:rFonts w:ascii="Bookman Old Style" w:hAnsi="Bookman Old Style"/>
          <w:sz w:val="24"/>
          <w:szCs w:val="24"/>
          <w:lang w:val="el-GR"/>
        </w:rPr>
        <w:t>ρ</w:t>
      </w:r>
      <w:r w:rsidR="00AB3A5A" w:rsidRPr="00AB3A5A">
        <w:rPr>
          <w:rFonts w:ascii="Bookman Old Style" w:hAnsi="Bookman Old Style"/>
          <w:sz w:val="24"/>
          <w:szCs w:val="24"/>
          <w:lang w:val="el-GR"/>
        </w:rPr>
        <w:t>ων 119 παρ</w:t>
      </w:r>
      <w:r w:rsidR="00697BF4">
        <w:rPr>
          <w:rFonts w:ascii="Bookman Old Style" w:hAnsi="Bookman Old Style"/>
          <w:sz w:val="24"/>
          <w:szCs w:val="24"/>
          <w:lang w:val="el-GR"/>
        </w:rPr>
        <w:t>.</w:t>
      </w:r>
      <w:r w:rsidR="00AB3A5A" w:rsidRPr="00AB3A5A">
        <w:rPr>
          <w:rFonts w:ascii="Bookman Old Style" w:hAnsi="Bookman Old Style"/>
          <w:sz w:val="24"/>
          <w:szCs w:val="24"/>
          <w:lang w:val="el-GR"/>
        </w:rPr>
        <w:t xml:space="preserve"> 2 και 127 παρ</w:t>
      </w:r>
      <w:r w:rsidR="00697BF4">
        <w:rPr>
          <w:rFonts w:ascii="Bookman Old Style" w:hAnsi="Bookman Old Style"/>
          <w:sz w:val="24"/>
          <w:szCs w:val="24"/>
          <w:lang w:val="el-GR"/>
        </w:rPr>
        <w:t>.</w:t>
      </w:r>
      <w:r w:rsidR="00AB3A5A" w:rsidRPr="00AB3A5A">
        <w:rPr>
          <w:rFonts w:ascii="Bookman Old Style" w:hAnsi="Bookman Old Style"/>
          <w:sz w:val="24"/>
          <w:szCs w:val="24"/>
          <w:lang w:val="el-GR"/>
        </w:rPr>
        <w:t xml:space="preserve"> 1</w:t>
      </w:r>
      <w:r w:rsidR="00093176">
        <w:rPr>
          <w:rFonts w:ascii="Bookman Old Style" w:hAnsi="Bookman Old Style"/>
          <w:sz w:val="24"/>
          <w:szCs w:val="24"/>
          <w:lang w:val="el-GR"/>
        </w:rPr>
        <w:t xml:space="preserve"> της</w:t>
      </w:r>
      <w:r w:rsidR="00AB3A5A" w:rsidRPr="00AB3A5A">
        <w:rPr>
          <w:rFonts w:ascii="Bookman Old Style" w:hAnsi="Bookman Old Style"/>
          <w:sz w:val="24"/>
          <w:szCs w:val="24"/>
          <w:lang w:val="el-GR"/>
        </w:rPr>
        <w:t xml:space="preserve"> ΣΛΕΕ, σε συνδυασμό με τις διατάξεις του άρθρου 5 παρ</w:t>
      </w:r>
      <w:r w:rsidR="00697BF4">
        <w:rPr>
          <w:rFonts w:ascii="Bookman Old Style" w:hAnsi="Bookman Old Style"/>
          <w:sz w:val="24"/>
          <w:szCs w:val="24"/>
          <w:lang w:val="el-GR"/>
        </w:rPr>
        <w:t>.</w:t>
      </w:r>
      <w:r w:rsidR="00AB3A5A" w:rsidRPr="00AB3A5A">
        <w:rPr>
          <w:rFonts w:ascii="Bookman Old Style" w:hAnsi="Bookman Old Style"/>
          <w:sz w:val="24"/>
          <w:szCs w:val="24"/>
          <w:lang w:val="el-GR"/>
        </w:rPr>
        <w:t xml:space="preserve"> 4</w:t>
      </w:r>
      <w:r w:rsidR="00093176">
        <w:rPr>
          <w:rFonts w:ascii="Bookman Old Style" w:hAnsi="Bookman Old Style"/>
          <w:sz w:val="24"/>
          <w:szCs w:val="24"/>
          <w:lang w:val="el-GR"/>
        </w:rPr>
        <w:t xml:space="preserve"> της Συνθήκης της Ευρωπαϊκής Ένωσης (</w:t>
      </w:r>
      <w:r w:rsidR="00AB3A5A" w:rsidRPr="00AB3A5A">
        <w:rPr>
          <w:rFonts w:ascii="Bookman Old Style" w:hAnsi="Bookman Old Style"/>
          <w:sz w:val="24"/>
          <w:szCs w:val="24"/>
          <w:lang w:val="el-GR"/>
        </w:rPr>
        <w:t>ΣΕΕ</w:t>
      </w:r>
      <w:r w:rsidR="0035421B">
        <w:rPr>
          <w:rFonts w:ascii="Bookman Old Style" w:hAnsi="Bookman Old Style"/>
          <w:sz w:val="24"/>
          <w:szCs w:val="24"/>
          <w:lang w:val="el-GR"/>
        </w:rPr>
        <w:t>)</w:t>
      </w:r>
      <w:r w:rsidR="00093176">
        <w:rPr>
          <w:rFonts w:ascii="Bookman Old Style" w:hAnsi="Bookman Old Style"/>
          <w:sz w:val="24"/>
          <w:szCs w:val="24"/>
          <w:lang w:val="el-GR"/>
        </w:rPr>
        <w:t>-</w:t>
      </w:r>
      <w:r w:rsidR="00AB3A5A" w:rsidRPr="00AB3A5A">
        <w:rPr>
          <w:rFonts w:ascii="Bookman Old Style" w:hAnsi="Bookman Old Style"/>
          <w:sz w:val="24"/>
          <w:szCs w:val="24"/>
          <w:lang w:val="el-GR"/>
        </w:rPr>
        <w:t xml:space="preserve"> μόνον όταν τα μέτρα που περιέχει είναι αναλογικά προς τους σκοπούς της πολιτικής αυτής (βλ. σκ. 66), δηλαδή είναι πρόσφορα για την επίτευξη των νομίμως επιδιωκομένων από την οικεία ρύθμιση σκοπών και δεν  υπερβαίνουν το αναγκαίο</w:t>
      </w:r>
      <w:r w:rsidR="00093176">
        <w:rPr>
          <w:rFonts w:ascii="Bookman Old Style" w:hAnsi="Bookman Old Style"/>
          <w:sz w:val="24"/>
          <w:szCs w:val="24"/>
          <w:lang w:val="el-GR"/>
        </w:rPr>
        <w:t>,</w:t>
      </w:r>
      <w:r w:rsidR="00AB3A5A" w:rsidRPr="00AB3A5A">
        <w:rPr>
          <w:rFonts w:ascii="Bookman Old Style" w:hAnsi="Bookman Old Style"/>
          <w:sz w:val="24"/>
          <w:szCs w:val="24"/>
          <w:lang w:val="el-GR"/>
        </w:rPr>
        <w:t xml:space="preserve"> για την επίτευξη των σκοπών αυτών</w:t>
      </w:r>
      <w:r w:rsidR="00093176">
        <w:rPr>
          <w:rFonts w:ascii="Bookman Old Style" w:hAnsi="Bookman Old Style"/>
          <w:sz w:val="24"/>
          <w:szCs w:val="24"/>
          <w:lang w:val="el-GR"/>
        </w:rPr>
        <w:t>,</w:t>
      </w:r>
      <w:r w:rsidR="00AB3A5A" w:rsidRPr="00AB3A5A">
        <w:rPr>
          <w:rFonts w:ascii="Bookman Old Style" w:hAnsi="Bookman Old Style"/>
          <w:sz w:val="24"/>
          <w:szCs w:val="24"/>
          <w:lang w:val="el-GR"/>
        </w:rPr>
        <w:t xml:space="preserve"> μέτρο.</w:t>
      </w:r>
    </w:p>
    <w:p w:rsidR="00AB3A5A" w:rsidRPr="00AB3A5A" w:rsidRDefault="00922FA0" w:rsidP="00303AFA">
      <w:pPr>
        <w:pStyle w:val="1"/>
        <w:spacing w:before="240" w:after="240" w:line="360" w:lineRule="auto"/>
        <w:ind w:left="1134" w:hanging="283"/>
        <w:jc w:val="both"/>
        <w:rPr>
          <w:rFonts w:ascii="Bookman Old Style" w:hAnsi="Bookman Old Style"/>
          <w:sz w:val="24"/>
          <w:szCs w:val="24"/>
          <w:lang w:val="el-GR"/>
        </w:rPr>
      </w:pPr>
      <w:r>
        <w:rPr>
          <w:rFonts w:ascii="Bookman Old Style" w:hAnsi="Bookman Old Style"/>
          <w:b/>
          <w:sz w:val="24"/>
          <w:szCs w:val="24"/>
          <w:lang w:val="el-GR"/>
        </w:rPr>
        <w:t>γ)</w:t>
      </w:r>
      <w:r w:rsidR="00AB3A5A" w:rsidRPr="00AB3A5A">
        <w:rPr>
          <w:rFonts w:ascii="Bookman Old Style" w:hAnsi="Bookman Old Style"/>
          <w:b/>
          <w:sz w:val="24"/>
          <w:szCs w:val="24"/>
          <w:lang w:val="el-GR"/>
        </w:rPr>
        <w:t xml:space="preserve"> </w:t>
      </w:r>
      <w:r w:rsidR="00AB3A5A" w:rsidRPr="00AB3A5A">
        <w:rPr>
          <w:rFonts w:ascii="Bookman Old Style" w:hAnsi="Bookman Old Style"/>
          <w:sz w:val="24"/>
          <w:szCs w:val="24"/>
          <w:lang w:val="el-GR"/>
        </w:rPr>
        <w:t xml:space="preserve"> Το ΕΣΚΤ  δεν μπορεί νομίμως  ν’ αγοράζει κρατικά ομόλογα στις δευτερογενείς αγορές υπό συνθήκες που θα προσέδιδαν, εν τοις πράγμασι, στην παρέμβασή του αποτέλεσμα ισοδύναμο μ’ εκείνο της απευθείας αγοράς κρατικών ομολόγων από τις αρχές και τους οργανισμούς δημόσιου δικαίου των </w:t>
      </w:r>
      <w:r>
        <w:rPr>
          <w:rFonts w:ascii="Bookman Old Style" w:hAnsi="Bookman Old Style"/>
          <w:sz w:val="24"/>
          <w:szCs w:val="24"/>
          <w:lang w:val="el-GR"/>
        </w:rPr>
        <w:t>Κ</w:t>
      </w:r>
      <w:r w:rsidR="00AB3A5A" w:rsidRPr="00AB3A5A">
        <w:rPr>
          <w:rFonts w:ascii="Bookman Old Style" w:hAnsi="Bookman Old Style"/>
          <w:sz w:val="24"/>
          <w:szCs w:val="24"/>
          <w:lang w:val="el-GR"/>
        </w:rPr>
        <w:t>ρατών-</w:t>
      </w:r>
      <w:r>
        <w:rPr>
          <w:rFonts w:ascii="Bookman Old Style" w:hAnsi="Bookman Old Style"/>
          <w:sz w:val="24"/>
          <w:szCs w:val="24"/>
          <w:lang w:val="el-GR"/>
        </w:rPr>
        <w:t>Μ</w:t>
      </w:r>
      <w:r w:rsidR="00AB3A5A" w:rsidRPr="00AB3A5A">
        <w:rPr>
          <w:rFonts w:ascii="Bookman Old Style" w:hAnsi="Bookman Old Style"/>
          <w:sz w:val="24"/>
          <w:szCs w:val="24"/>
          <w:lang w:val="el-GR"/>
        </w:rPr>
        <w:t>ελών, περιορίζοντας έτσι την αποτελεσματικότητα της απαγόρευσης που επιβάλλει η, θεσπισθείσα με τις διατάξεις του άρθρου 123 παρ. 1</w:t>
      </w:r>
      <w:r w:rsidR="00093176">
        <w:rPr>
          <w:rFonts w:ascii="Bookman Old Style" w:hAnsi="Bookman Old Style"/>
          <w:sz w:val="24"/>
          <w:szCs w:val="24"/>
          <w:lang w:val="el-GR"/>
        </w:rPr>
        <w:t xml:space="preserve"> της</w:t>
      </w:r>
      <w:r w:rsidR="00AB3A5A" w:rsidRPr="00AB3A5A">
        <w:rPr>
          <w:rFonts w:ascii="Bookman Old Style" w:hAnsi="Bookman Old Style"/>
          <w:sz w:val="24"/>
          <w:szCs w:val="24"/>
          <w:lang w:val="el-GR"/>
        </w:rPr>
        <w:t xml:space="preserve"> ΣΛΕΕ, απαγόρευση νομισματικής χρηματοδότησης (βλ. σκ. 97).  Συνεπώς, όταν η ΕΚΤ προβαίνει στην αγορά κρατικών ομολόγων στις δευτερογενείς αγορές, πρέπει να συνοδεύει την παρέμβασή της μ’ επαρκείς εγγυήσεις που να καθιστούν δυνατό τον συγκερασμό της παρέμβασής της με την απαγόρευση νομισματικής χρηματοδότησης, η οποία απορρέει από τις διατάξεις του άρθρου 123 παρ. 1 </w:t>
      </w:r>
      <w:r w:rsidR="00093176">
        <w:rPr>
          <w:rFonts w:ascii="Bookman Old Style" w:hAnsi="Bookman Old Style"/>
          <w:sz w:val="24"/>
          <w:szCs w:val="24"/>
          <w:lang w:val="el-GR"/>
        </w:rPr>
        <w:t xml:space="preserve">της </w:t>
      </w:r>
      <w:r w:rsidR="00AB3A5A" w:rsidRPr="00AB3A5A">
        <w:rPr>
          <w:rFonts w:ascii="Bookman Old Style" w:hAnsi="Bookman Old Style"/>
          <w:sz w:val="24"/>
          <w:szCs w:val="24"/>
          <w:lang w:val="el-GR"/>
        </w:rPr>
        <w:t>ΣΛΕΕ (σκ. 102).</w:t>
      </w:r>
    </w:p>
    <w:p w:rsidR="00093176" w:rsidRDefault="00922FA0" w:rsidP="00303AFA">
      <w:pPr>
        <w:pStyle w:val="1"/>
        <w:spacing w:before="240" w:after="240" w:line="360" w:lineRule="auto"/>
        <w:ind w:left="851" w:hanging="284"/>
        <w:jc w:val="both"/>
        <w:rPr>
          <w:rFonts w:ascii="Bookman Old Style" w:hAnsi="Bookman Old Style"/>
          <w:b/>
          <w:sz w:val="24"/>
          <w:szCs w:val="24"/>
          <w:lang w:val="el-GR"/>
        </w:rPr>
      </w:pPr>
      <w:r>
        <w:rPr>
          <w:rFonts w:ascii="Bookman Old Style" w:hAnsi="Bookman Old Style"/>
          <w:b/>
          <w:sz w:val="24"/>
          <w:szCs w:val="24"/>
          <w:lang w:val="el-GR"/>
        </w:rPr>
        <w:t>2</w:t>
      </w:r>
      <w:r w:rsidR="00AB3A5A" w:rsidRPr="00AB3A5A">
        <w:rPr>
          <w:rFonts w:ascii="Bookman Old Style" w:hAnsi="Bookman Old Style"/>
          <w:b/>
          <w:sz w:val="24"/>
          <w:szCs w:val="24"/>
          <w:lang w:val="el-GR"/>
        </w:rPr>
        <w:t xml:space="preserve">. </w:t>
      </w:r>
      <w:r w:rsidR="00093176">
        <w:rPr>
          <w:rFonts w:ascii="Bookman Old Style" w:hAnsi="Bookman Old Style"/>
          <w:b/>
          <w:sz w:val="24"/>
          <w:szCs w:val="24"/>
          <w:lang w:val="el-GR"/>
        </w:rPr>
        <w:t>Ο έλεγχος της νομολογίας του προγράμματος «ΟΜΤ».</w:t>
      </w:r>
    </w:p>
    <w:p w:rsidR="00AB3A5A" w:rsidRPr="00AB3A5A" w:rsidRDefault="00AB3A5A" w:rsidP="00303AFA">
      <w:pPr>
        <w:pStyle w:val="1"/>
        <w:spacing w:before="240" w:after="240" w:line="360" w:lineRule="auto"/>
        <w:ind w:left="851"/>
        <w:jc w:val="both"/>
        <w:rPr>
          <w:rFonts w:ascii="Bookman Old Style" w:hAnsi="Bookman Old Style"/>
          <w:sz w:val="24"/>
          <w:szCs w:val="24"/>
          <w:lang w:val="el-GR"/>
        </w:rPr>
      </w:pPr>
      <w:r w:rsidRPr="00AB3A5A">
        <w:rPr>
          <w:rFonts w:ascii="Bookman Old Style" w:hAnsi="Bookman Old Style"/>
          <w:sz w:val="24"/>
          <w:szCs w:val="24"/>
          <w:lang w:val="el-GR"/>
        </w:rPr>
        <w:lastRenderedPageBreak/>
        <w:t xml:space="preserve">Συγκεκριμένα, αναφορικά με τον έλεγχο του ως άνω προγράμματος </w:t>
      </w:r>
      <w:r w:rsidR="00093176">
        <w:rPr>
          <w:rFonts w:ascii="Bookman Old Style" w:hAnsi="Bookman Old Style"/>
          <w:sz w:val="24"/>
          <w:szCs w:val="24"/>
          <w:lang w:val="el-GR"/>
        </w:rPr>
        <w:t>«</w:t>
      </w:r>
      <w:r w:rsidRPr="00AB3A5A">
        <w:rPr>
          <w:rFonts w:ascii="Bookman Old Style" w:hAnsi="Bookman Old Style"/>
          <w:sz w:val="24"/>
          <w:szCs w:val="24"/>
          <w:lang w:val="el-GR"/>
        </w:rPr>
        <w:t>ΟΜΤ</w:t>
      </w:r>
      <w:r w:rsidR="00093176">
        <w:rPr>
          <w:rFonts w:ascii="Bookman Old Style" w:hAnsi="Bookman Old Style"/>
          <w:sz w:val="24"/>
          <w:szCs w:val="24"/>
          <w:lang w:val="el-GR"/>
        </w:rPr>
        <w:t>»</w:t>
      </w:r>
      <w:r w:rsidRPr="00AB3A5A">
        <w:rPr>
          <w:rFonts w:ascii="Bookman Old Style" w:hAnsi="Bookman Old Style"/>
          <w:sz w:val="24"/>
          <w:szCs w:val="24"/>
          <w:lang w:val="el-GR"/>
        </w:rPr>
        <w:t>, το σκεπτικό του ΔΕΕ έχει, σε γενικές γραμμές, ως εξής:</w:t>
      </w:r>
    </w:p>
    <w:p w:rsidR="00AB3A5A" w:rsidRPr="00AB3A5A" w:rsidRDefault="00922FA0" w:rsidP="00303AFA">
      <w:pPr>
        <w:pStyle w:val="1"/>
        <w:spacing w:before="240" w:after="240" w:line="360" w:lineRule="auto"/>
        <w:ind w:left="1134" w:hanging="283"/>
        <w:jc w:val="both"/>
        <w:rPr>
          <w:rFonts w:ascii="Bookman Old Style" w:hAnsi="Bookman Old Style"/>
          <w:sz w:val="24"/>
          <w:szCs w:val="24"/>
          <w:lang w:val="el-GR"/>
        </w:rPr>
      </w:pPr>
      <w:r>
        <w:rPr>
          <w:rFonts w:ascii="Bookman Old Style" w:hAnsi="Bookman Old Style"/>
          <w:b/>
          <w:sz w:val="24"/>
          <w:szCs w:val="24"/>
          <w:lang w:val="el-GR"/>
        </w:rPr>
        <w:t>α)</w:t>
      </w:r>
      <w:r w:rsidR="00AB3A5A" w:rsidRPr="00AB3A5A">
        <w:rPr>
          <w:rFonts w:ascii="Bookman Old Style" w:hAnsi="Bookman Old Style"/>
          <w:sz w:val="24"/>
          <w:szCs w:val="24"/>
          <w:lang w:val="el-GR"/>
        </w:rPr>
        <w:t xml:space="preserve"> Σε σχέση με την ως άνω πρώτη προϋπόθεση συμβατότητας του προγράμματος </w:t>
      </w:r>
      <w:r w:rsidR="00093176">
        <w:rPr>
          <w:rFonts w:ascii="Bookman Old Style" w:hAnsi="Bookman Old Style"/>
          <w:sz w:val="24"/>
          <w:szCs w:val="24"/>
          <w:lang w:val="el-GR"/>
        </w:rPr>
        <w:t>«</w:t>
      </w:r>
      <w:r w:rsidR="00AB3A5A" w:rsidRPr="00AB3A5A">
        <w:rPr>
          <w:rFonts w:ascii="Bookman Old Style" w:hAnsi="Bookman Old Style"/>
          <w:sz w:val="24"/>
          <w:szCs w:val="24"/>
          <w:lang w:val="el-GR"/>
        </w:rPr>
        <w:t>ΟΜΤ</w:t>
      </w:r>
      <w:r w:rsidR="00093176">
        <w:rPr>
          <w:rFonts w:ascii="Bookman Old Style" w:hAnsi="Bookman Old Style"/>
          <w:sz w:val="24"/>
          <w:szCs w:val="24"/>
          <w:lang w:val="el-GR"/>
        </w:rPr>
        <w:t>»</w:t>
      </w:r>
      <w:r w:rsidR="00AB3A5A" w:rsidRPr="00AB3A5A">
        <w:rPr>
          <w:rFonts w:ascii="Bookman Old Style" w:hAnsi="Bookman Old Style"/>
          <w:sz w:val="24"/>
          <w:szCs w:val="24"/>
          <w:lang w:val="el-GR"/>
        </w:rPr>
        <w:t xml:space="preserve"> με τις Συνθήκες, το ΔΕΕ έκρινε ότι οι σκοποί του προγράμματος τούτου κινούνταν εντός του πλαισίου άσκησης της νομισματικής πολιτικής, ήτοι στο πλαίσιο αρμοδιότητας της ΕΚΤ, διότι  συνεισέφεραν στην αποτελεσματική λειτουργία του μηχανισμού μετάδοσης της νομισματικής πολιτικής σ</w:t>
      </w:r>
      <w:r w:rsidR="00093176">
        <w:rPr>
          <w:rFonts w:ascii="Bookman Old Style" w:hAnsi="Bookman Old Style"/>
          <w:sz w:val="24"/>
          <w:szCs w:val="24"/>
          <w:lang w:val="el-GR"/>
        </w:rPr>
        <w:t>ε</w:t>
      </w:r>
      <w:r w:rsidR="00AB3A5A" w:rsidRPr="00AB3A5A">
        <w:rPr>
          <w:rFonts w:ascii="Bookman Old Style" w:hAnsi="Bookman Old Style"/>
          <w:sz w:val="24"/>
          <w:szCs w:val="24"/>
          <w:lang w:val="el-GR"/>
        </w:rPr>
        <w:t xml:space="preserve"> όλη την </w:t>
      </w:r>
      <w:r>
        <w:rPr>
          <w:rFonts w:ascii="Bookman Old Style" w:hAnsi="Bookman Old Style"/>
          <w:sz w:val="24"/>
          <w:szCs w:val="24"/>
          <w:lang w:val="el-GR"/>
        </w:rPr>
        <w:t>Ευρωζώνη</w:t>
      </w:r>
      <w:r w:rsidR="00697BF4">
        <w:rPr>
          <w:rFonts w:ascii="Bookman Old Style" w:hAnsi="Bookman Old Style"/>
          <w:sz w:val="24"/>
          <w:szCs w:val="24"/>
          <w:lang w:val="el-GR"/>
        </w:rPr>
        <w:t>,</w:t>
      </w:r>
      <w:r>
        <w:rPr>
          <w:rFonts w:ascii="Bookman Old Style" w:hAnsi="Bookman Old Style"/>
          <w:sz w:val="24"/>
          <w:szCs w:val="24"/>
          <w:lang w:val="el-GR"/>
        </w:rPr>
        <w:t xml:space="preserve"> </w:t>
      </w:r>
      <w:r w:rsidR="00AB3A5A" w:rsidRPr="00AB3A5A">
        <w:rPr>
          <w:rFonts w:ascii="Bookman Old Style" w:hAnsi="Bookman Old Style"/>
          <w:sz w:val="24"/>
          <w:szCs w:val="24"/>
          <w:lang w:val="el-GR"/>
        </w:rPr>
        <w:t>μέσω της διορθωτικής παρέμβασης στα επιτόκια, η οποία είναι το κύριο μέσο του μηχανισμού αυτού και, ως εκ τούτου, στην διατήρηση της σταθερότητας των τιμών</w:t>
      </w:r>
      <w:r>
        <w:rPr>
          <w:rFonts w:ascii="Bookman Old Style" w:hAnsi="Bookman Old Style"/>
          <w:sz w:val="24"/>
          <w:szCs w:val="24"/>
          <w:lang w:val="el-GR"/>
        </w:rPr>
        <w:t>,</w:t>
      </w:r>
      <w:r w:rsidR="00AB3A5A" w:rsidRPr="00AB3A5A">
        <w:rPr>
          <w:rFonts w:ascii="Bookman Old Style" w:hAnsi="Bookman Old Style"/>
          <w:i/>
          <w:sz w:val="24"/>
          <w:szCs w:val="24"/>
          <w:lang w:val="el-GR"/>
        </w:rPr>
        <w:t xml:space="preserve"> </w:t>
      </w:r>
      <w:r>
        <w:rPr>
          <w:rFonts w:ascii="Bookman Old Style" w:hAnsi="Bookman Old Style"/>
          <w:sz w:val="24"/>
          <w:szCs w:val="24"/>
          <w:lang w:val="el-GR"/>
        </w:rPr>
        <w:t>που συνιστά</w:t>
      </w:r>
      <w:r w:rsidR="00AB3A5A" w:rsidRPr="00AB3A5A">
        <w:rPr>
          <w:rFonts w:ascii="Bookman Old Style" w:hAnsi="Bookman Old Style"/>
          <w:sz w:val="24"/>
          <w:szCs w:val="24"/>
          <w:lang w:val="el-GR"/>
        </w:rPr>
        <w:t xml:space="preserve"> πρωταρχικό σκοπό της νομισματικής πολιτικής της Ένωσης </w:t>
      </w:r>
      <w:r>
        <w:rPr>
          <w:rFonts w:ascii="Bookman Old Style" w:hAnsi="Bookman Old Style"/>
          <w:sz w:val="24"/>
          <w:szCs w:val="24"/>
          <w:lang w:val="el-GR"/>
        </w:rPr>
        <w:t>(</w:t>
      </w:r>
      <w:r w:rsidR="00AB3A5A" w:rsidRPr="00AB3A5A">
        <w:rPr>
          <w:rFonts w:ascii="Bookman Old Style" w:hAnsi="Bookman Old Style"/>
          <w:sz w:val="24"/>
          <w:szCs w:val="24"/>
          <w:lang w:val="el-GR"/>
        </w:rPr>
        <w:t>βλ. τις διατάξεις των άρθρων  127 παρ. 1 και 282 παρ. 2</w:t>
      </w:r>
      <w:r w:rsidR="00093176">
        <w:rPr>
          <w:rFonts w:ascii="Bookman Old Style" w:hAnsi="Bookman Old Style"/>
          <w:sz w:val="24"/>
          <w:szCs w:val="24"/>
          <w:lang w:val="el-GR"/>
        </w:rPr>
        <w:t xml:space="preserve"> της</w:t>
      </w:r>
      <w:r w:rsidR="00AB3A5A" w:rsidRPr="00AB3A5A">
        <w:rPr>
          <w:rFonts w:ascii="Bookman Old Style" w:hAnsi="Bookman Old Style"/>
          <w:sz w:val="24"/>
          <w:szCs w:val="24"/>
          <w:lang w:val="el-GR"/>
        </w:rPr>
        <w:t xml:space="preserve"> ΣΛΕΕ). Η εξυπηρέτηση του ως άνω σκοπού από το πρόγραμμα </w:t>
      </w:r>
      <w:r w:rsidR="00093176">
        <w:rPr>
          <w:rFonts w:ascii="Bookman Old Style" w:hAnsi="Bookman Old Style"/>
          <w:sz w:val="24"/>
          <w:szCs w:val="24"/>
          <w:lang w:val="el-GR"/>
        </w:rPr>
        <w:t>«</w:t>
      </w:r>
      <w:r w:rsidR="00AB3A5A" w:rsidRPr="00AB3A5A">
        <w:rPr>
          <w:rFonts w:ascii="Bookman Old Style" w:hAnsi="Bookman Old Style"/>
          <w:sz w:val="24"/>
          <w:szCs w:val="24"/>
          <w:lang w:val="el-GR"/>
        </w:rPr>
        <w:t>ΟΜΤ</w:t>
      </w:r>
      <w:r w:rsidR="00093176">
        <w:rPr>
          <w:rFonts w:ascii="Bookman Old Style" w:hAnsi="Bookman Old Style"/>
          <w:sz w:val="24"/>
          <w:szCs w:val="24"/>
          <w:lang w:val="el-GR"/>
        </w:rPr>
        <w:t>»</w:t>
      </w:r>
      <w:r w:rsidR="00AB3A5A" w:rsidRPr="00AB3A5A">
        <w:rPr>
          <w:rFonts w:ascii="Bookman Old Style" w:hAnsi="Bookman Old Style"/>
          <w:sz w:val="24"/>
          <w:szCs w:val="24"/>
          <w:lang w:val="el-GR"/>
        </w:rPr>
        <w:t xml:space="preserve"> βασίζεται, κατά το ΔΕΕ, στην παραδοχή ότι</w:t>
      </w:r>
      <w:r w:rsidR="00B72071">
        <w:rPr>
          <w:rFonts w:ascii="Bookman Old Style" w:hAnsi="Bookman Old Style"/>
          <w:sz w:val="24"/>
          <w:szCs w:val="24"/>
          <w:lang w:val="el-GR"/>
        </w:rPr>
        <w:t>,</w:t>
      </w:r>
      <w:r w:rsidR="00AB3A5A" w:rsidRPr="00AB3A5A">
        <w:rPr>
          <w:rFonts w:ascii="Bookman Old Style" w:hAnsi="Bookman Old Style"/>
          <w:sz w:val="24"/>
          <w:szCs w:val="24"/>
          <w:lang w:val="el-GR"/>
        </w:rPr>
        <w:t xml:space="preserve"> κατά την ημερομηνία της ανακοίνωσης του εν λόγω προγράμματος</w:t>
      </w:r>
      <w:r w:rsidR="00B72071">
        <w:rPr>
          <w:rFonts w:ascii="Bookman Old Style" w:hAnsi="Bookman Old Style"/>
          <w:sz w:val="24"/>
          <w:szCs w:val="24"/>
          <w:lang w:val="el-GR"/>
        </w:rPr>
        <w:t>,</w:t>
      </w:r>
      <w:r w:rsidR="00AB3A5A" w:rsidRPr="00AB3A5A">
        <w:rPr>
          <w:rFonts w:ascii="Bookman Old Style" w:hAnsi="Bookman Old Style"/>
          <w:sz w:val="24"/>
          <w:szCs w:val="24"/>
          <w:lang w:val="el-GR"/>
        </w:rPr>
        <w:t xml:space="preserve"> τα επιτόκια των κρατικών ομολόγων των διαφόρων </w:t>
      </w:r>
      <w:r w:rsidR="00093176">
        <w:rPr>
          <w:rFonts w:ascii="Bookman Old Style" w:hAnsi="Bookman Old Style"/>
          <w:sz w:val="24"/>
          <w:szCs w:val="24"/>
          <w:lang w:val="el-GR"/>
        </w:rPr>
        <w:t>Κ</w:t>
      </w:r>
      <w:r w:rsidR="00AB3A5A" w:rsidRPr="00AB3A5A">
        <w:rPr>
          <w:rFonts w:ascii="Bookman Old Style" w:hAnsi="Bookman Old Style"/>
          <w:sz w:val="24"/>
          <w:szCs w:val="24"/>
          <w:lang w:val="el-GR"/>
        </w:rPr>
        <w:t xml:space="preserve">ρατών της </w:t>
      </w:r>
      <w:r>
        <w:rPr>
          <w:rFonts w:ascii="Bookman Old Style" w:hAnsi="Bookman Old Style"/>
          <w:sz w:val="24"/>
          <w:szCs w:val="24"/>
          <w:lang w:val="el-GR"/>
        </w:rPr>
        <w:t>Ευρωζώνης</w:t>
      </w:r>
      <w:r w:rsidR="00AB3A5A" w:rsidRPr="00AB3A5A">
        <w:rPr>
          <w:rFonts w:ascii="Bookman Old Style" w:hAnsi="Bookman Old Style"/>
          <w:sz w:val="24"/>
          <w:szCs w:val="24"/>
          <w:lang w:val="el-GR"/>
        </w:rPr>
        <w:t xml:space="preserve"> είχαν παρουσιάσει έντονες διακυμάνσεις και ακραίες αποκλίσεις, οι οποίες δεν οφείλονταν αποκλειστικώς στις μακροοικονομικές διαφορές μεταξύ των </w:t>
      </w:r>
      <w:r>
        <w:rPr>
          <w:rFonts w:ascii="Bookman Old Style" w:hAnsi="Bookman Old Style"/>
          <w:sz w:val="24"/>
          <w:szCs w:val="24"/>
          <w:lang w:val="el-GR"/>
        </w:rPr>
        <w:t>Κ</w:t>
      </w:r>
      <w:r w:rsidR="00AB3A5A" w:rsidRPr="00AB3A5A">
        <w:rPr>
          <w:rFonts w:ascii="Bookman Old Style" w:hAnsi="Bookman Old Style"/>
          <w:sz w:val="24"/>
          <w:szCs w:val="24"/>
          <w:lang w:val="el-GR"/>
        </w:rPr>
        <w:t xml:space="preserve">ρατών αυτών, αλλά προέρχονταν, εν μέρει τουλάχιστον, από την απαίτηση υπερβολικών ασφαλίστρων κινδύνου για τα ομόλογα που είχαν εκδώσει ορισμένα </w:t>
      </w:r>
      <w:r w:rsidR="00D8123E">
        <w:rPr>
          <w:rFonts w:ascii="Bookman Old Style" w:hAnsi="Bookman Old Style"/>
          <w:sz w:val="24"/>
          <w:szCs w:val="24"/>
          <w:lang w:val="el-GR"/>
        </w:rPr>
        <w:t>Κ</w:t>
      </w:r>
      <w:r w:rsidR="00AB3A5A" w:rsidRPr="00AB3A5A">
        <w:rPr>
          <w:rFonts w:ascii="Bookman Old Style" w:hAnsi="Bookman Old Style"/>
          <w:sz w:val="24"/>
          <w:szCs w:val="24"/>
          <w:lang w:val="el-GR"/>
        </w:rPr>
        <w:t>ράτη-</w:t>
      </w:r>
      <w:r w:rsidR="00D8123E">
        <w:rPr>
          <w:rFonts w:ascii="Bookman Old Style" w:hAnsi="Bookman Old Style"/>
          <w:sz w:val="24"/>
          <w:szCs w:val="24"/>
          <w:lang w:val="el-GR"/>
        </w:rPr>
        <w:t>Μ</w:t>
      </w:r>
      <w:r w:rsidR="00AB3A5A" w:rsidRPr="00AB3A5A">
        <w:rPr>
          <w:rFonts w:ascii="Bookman Old Style" w:hAnsi="Bookman Old Style"/>
          <w:sz w:val="24"/>
          <w:szCs w:val="24"/>
          <w:lang w:val="el-GR"/>
        </w:rPr>
        <w:t xml:space="preserve">έλη, τα οποία ασφάλιστρα αποσκοπούσαν στην κάλυψη του κινδύνου διάλυσης της </w:t>
      </w:r>
      <w:r w:rsidR="00D8123E">
        <w:rPr>
          <w:rFonts w:ascii="Bookman Old Style" w:hAnsi="Bookman Old Style"/>
          <w:sz w:val="24"/>
          <w:szCs w:val="24"/>
          <w:lang w:val="el-GR"/>
        </w:rPr>
        <w:t>Ευρωζώνης</w:t>
      </w:r>
      <w:r w:rsidR="00AB3A5A" w:rsidRPr="00AB3A5A">
        <w:rPr>
          <w:rFonts w:ascii="Bookman Old Style" w:hAnsi="Bookman Old Style"/>
          <w:sz w:val="24"/>
          <w:szCs w:val="24"/>
          <w:lang w:val="el-GR"/>
        </w:rPr>
        <w:t>. Δηλαδή</w:t>
      </w:r>
      <w:r w:rsidR="00D8123E">
        <w:rPr>
          <w:rFonts w:ascii="Bookman Old Style" w:hAnsi="Bookman Old Style"/>
          <w:sz w:val="24"/>
          <w:szCs w:val="24"/>
          <w:lang w:val="el-GR"/>
        </w:rPr>
        <w:t>,</w:t>
      </w:r>
      <w:r w:rsidR="00AB3A5A" w:rsidRPr="00AB3A5A">
        <w:rPr>
          <w:rFonts w:ascii="Bookman Old Style" w:hAnsi="Bookman Old Style"/>
          <w:sz w:val="24"/>
          <w:szCs w:val="24"/>
          <w:lang w:val="el-GR"/>
        </w:rPr>
        <w:t xml:space="preserve"> η λογική του προγράμματος συνίσταται, κατά την εκτίμηση της ΕΚΤ όπως υιοθετήθηκε από το ΔΕΕ, στην προσπάθεια απόκρουσης αποσταθεροποιητικής «επίθεσης» των αγορών στην </w:t>
      </w:r>
      <w:r w:rsidR="00D8123E">
        <w:rPr>
          <w:rFonts w:ascii="Bookman Old Style" w:hAnsi="Bookman Old Style"/>
          <w:sz w:val="24"/>
          <w:szCs w:val="24"/>
          <w:lang w:val="el-GR"/>
        </w:rPr>
        <w:t>Ευρωζώνη.</w:t>
      </w:r>
    </w:p>
    <w:p w:rsidR="00922FA0" w:rsidRDefault="00AB3A5A" w:rsidP="00303AFA">
      <w:pPr>
        <w:pStyle w:val="1"/>
        <w:spacing w:before="240" w:after="240" w:line="360" w:lineRule="auto"/>
        <w:ind w:left="1418" w:hanging="284"/>
        <w:jc w:val="both"/>
        <w:rPr>
          <w:rFonts w:ascii="Bookman Old Style" w:hAnsi="Bookman Old Style"/>
          <w:sz w:val="24"/>
          <w:szCs w:val="24"/>
          <w:lang w:val="el-GR"/>
        </w:rPr>
      </w:pPr>
      <w:r w:rsidRPr="00AB3A5A">
        <w:rPr>
          <w:rFonts w:ascii="Bookman Old Style" w:hAnsi="Bookman Old Style"/>
          <w:b/>
          <w:sz w:val="24"/>
          <w:szCs w:val="24"/>
          <w:lang w:val="el-GR"/>
        </w:rPr>
        <w:t>α</w:t>
      </w:r>
      <w:r w:rsidR="00922FA0">
        <w:rPr>
          <w:rFonts w:ascii="Bookman Old Style" w:hAnsi="Bookman Old Style"/>
          <w:b/>
          <w:sz w:val="24"/>
          <w:szCs w:val="24"/>
          <w:lang w:val="el-GR"/>
        </w:rPr>
        <w:t>1</w:t>
      </w:r>
      <w:r w:rsidRPr="00AB3A5A">
        <w:rPr>
          <w:rFonts w:ascii="Bookman Old Style" w:hAnsi="Bookman Old Style"/>
          <w:b/>
          <w:sz w:val="24"/>
          <w:szCs w:val="24"/>
          <w:lang w:val="el-GR"/>
        </w:rPr>
        <w:t xml:space="preserve">) </w:t>
      </w:r>
      <w:r w:rsidRPr="00AB3A5A">
        <w:rPr>
          <w:rFonts w:ascii="Bookman Old Style" w:hAnsi="Bookman Old Style"/>
          <w:sz w:val="24"/>
          <w:szCs w:val="24"/>
          <w:lang w:val="el-GR"/>
        </w:rPr>
        <w:t xml:space="preserve">Περαιτέρω, το ΔΕΕ έκρινε πως η μέθοδος του προγράμματος, ήτοι η αγορά κρατικών ομολόγων στις δευτερογενείς αγορές, συνιστά ένα από τα μέσα της </w:t>
      </w:r>
      <w:r w:rsidRPr="00AB3A5A">
        <w:rPr>
          <w:rFonts w:ascii="Bookman Old Style" w:hAnsi="Bookman Old Style"/>
          <w:sz w:val="24"/>
          <w:szCs w:val="24"/>
          <w:lang w:val="el-GR"/>
        </w:rPr>
        <w:lastRenderedPageBreak/>
        <w:t xml:space="preserve">νομισματικής  πολιτικής που προβλέπει το πρωτογενές </w:t>
      </w:r>
      <w:r w:rsidR="00922FA0">
        <w:rPr>
          <w:rFonts w:ascii="Bookman Old Style" w:hAnsi="Bookman Old Style"/>
          <w:sz w:val="24"/>
          <w:szCs w:val="24"/>
          <w:lang w:val="el-GR"/>
        </w:rPr>
        <w:t>Ευρωπαϊκό Δ</w:t>
      </w:r>
      <w:r w:rsidRPr="00AB3A5A">
        <w:rPr>
          <w:rFonts w:ascii="Bookman Old Style" w:hAnsi="Bookman Old Style"/>
          <w:sz w:val="24"/>
          <w:szCs w:val="24"/>
          <w:lang w:val="el-GR"/>
        </w:rPr>
        <w:t>ίκαιο</w:t>
      </w:r>
      <w:r w:rsidR="00D8123E">
        <w:rPr>
          <w:rFonts w:ascii="Bookman Old Style" w:hAnsi="Bookman Old Style"/>
          <w:sz w:val="24"/>
          <w:szCs w:val="24"/>
          <w:lang w:val="el-GR"/>
        </w:rPr>
        <w:t>,</w:t>
      </w:r>
      <w:r w:rsidRPr="00AB3A5A">
        <w:rPr>
          <w:rFonts w:ascii="Bookman Old Style" w:hAnsi="Bookman Old Style"/>
          <w:sz w:val="24"/>
          <w:szCs w:val="24"/>
          <w:lang w:val="el-GR"/>
        </w:rPr>
        <w:t xml:space="preserve"> δεδομένου ότι, από τις διατάξεις του άρθρου 18 παρ</w:t>
      </w:r>
      <w:r w:rsidR="00697BF4">
        <w:rPr>
          <w:rFonts w:ascii="Bookman Old Style" w:hAnsi="Bookman Old Style"/>
          <w:sz w:val="24"/>
          <w:szCs w:val="24"/>
          <w:lang w:val="el-GR"/>
        </w:rPr>
        <w:t>.</w:t>
      </w:r>
      <w:r w:rsidRPr="00AB3A5A">
        <w:rPr>
          <w:rFonts w:ascii="Bookman Old Style" w:hAnsi="Bookman Old Style"/>
          <w:sz w:val="24"/>
          <w:szCs w:val="24"/>
          <w:lang w:val="el-GR"/>
        </w:rPr>
        <w:t xml:space="preserve"> 1 του Πρωτοκόλλου περί του ΕΣΚΤ και της ΕΚΤ, προκύπτει  σαφώς πως, για την επίτευξη των σκοπών του ΕΣΚΤ και την εκτέλεση των καθηκόντων του, όπως αυτά προκύπτουν από το πρωτογενές δίκαιο, η ΕΚΤ και οι </w:t>
      </w:r>
      <w:r w:rsidR="00D8123E">
        <w:rPr>
          <w:rFonts w:ascii="Bookman Old Style" w:hAnsi="Bookman Old Style"/>
          <w:sz w:val="24"/>
          <w:szCs w:val="24"/>
          <w:lang w:val="el-GR"/>
        </w:rPr>
        <w:t>Ε</w:t>
      </w:r>
      <w:r w:rsidRPr="00AB3A5A">
        <w:rPr>
          <w:rFonts w:ascii="Bookman Old Style" w:hAnsi="Bookman Old Style"/>
          <w:sz w:val="24"/>
          <w:szCs w:val="24"/>
          <w:lang w:val="el-GR"/>
        </w:rPr>
        <w:t>θνικές Κεντρικές Τράπεζες μπορούν, κατ</w:t>
      </w:r>
      <w:r w:rsidR="00D8123E">
        <w:rPr>
          <w:rFonts w:ascii="Bookman Old Style" w:hAnsi="Bookman Old Style"/>
          <w:sz w:val="24"/>
          <w:szCs w:val="24"/>
          <w:lang w:val="el-GR"/>
        </w:rPr>
        <w:t xml:space="preserve">’ </w:t>
      </w:r>
      <w:r w:rsidRPr="00AB3A5A">
        <w:rPr>
          <w:rFonts w:ascii="Bookman Old Style" w:hAnsi="Bookman Old Style"/>
          <w:sz w:val="24"/>
          <w:szCs w:val="24"/>
          <w:lang w:val="el-GR"/>
        </w:rPr>
        <w:t xml:space="preserve">αρχήν, να συναλλάσσονται στις χρηματαγορές, αγοράζοντας και πωλώντας με οριστικές πράξεις διαπραγματεύσιμους τίτλους, εκφρασμένους σε </w:t>
      </w:r>
      <w:r w:rsidR="00D8123E">
        <w:rPr>
          <w:rFonts w:ascii="Bookman Old Style" w:hAnsi="Bookman Old Style"/>
          <w:sz w:val="24"/>
          <w:szCs w:val="24"/>
          <w:lang w:val="el-GR"/>
        </w:rPr>
        <w:t>Ε</w:t>
      </w:r>
      <w:r w:rsidRPr="00AB3A5A">
        <w:rPr>
          <w:rFonts w:ascii="Bookman Old Style" w:hAnsi="Bookman Old Style"/>
          <w:sz w:val="24"/>
          <w:szCs w:val="24"/>
          <w:lang w:val="el-GR"/>
        </w:rPr>
        <w:t>υρώ.</w:t>
      </w:r>
    </w:p>
    <w:p w:rsidR="00AB3A5A" w:rsidRPr="00AB3A5A" w:rsidRDefault="00922FA0" w:rsidP="00303AFA">
      <w:pPr>
        <w:pStyle w:val="1"/>
        <w:spacing w:before="240" w:after="240" w:line="360" w:lineRule="auto"/>
        <w:ind w:left="1418" w:hanging="284"/>
        <w:jc w:val="both"/>
        <w:rPr>
          <w:rFonts w:ascii="Bookman Old Style" w:hAnsi="Bookman Old Style"/>
          <w:sz w:val="24"/>
          <w:szCs w:val="24"/>
          <w:lang w:val="el-GR"/>
        </w:rPr>
      </w:pPr>
      <w:r>
        <w:rPr>
          <w:rFonts w:ascii="Bookman Old Style" w:hAnsi="Bookman Old Style"/>
          <w:b/>
          <w:sz w:val="24"/>
          <w:szCs w:val="24"/>
          <w:lang w:val="el-GR"/>
        </w:rPr>
        <w:t>α2</w:t>
      </w:r>
      <w:r w:rsidR="00AB3A5A" w:rsidRPr="00AB3A5A">
        <w:rPr>
          <w:rFonts w:ascii="Bookman Old Style" w:hAnsi="Bookman Old Style"/>
          <w:b/>
          <w:sz w:val="24"/>
          <w:szCs w:val="24"/>
          <w:lang w:val="el-GR"/>
        </w:rPr>
        <w:t xml:space="preserve">) </w:t>
      </w:r>
      <w:r w:rsidR="00AB3A5A" w:rsidRPr="00AB3A5A">
        <w:rPr>
          <w:rFonts w:ascii="Bookman Old Style" w:hAnsi="Bookman Old Style"/>
          <w:sz w:val="24"/>
          <w:szCs w:val="24"/>
          <w:lang w:val="el-GR"/>
        </w:rPr>
        <w:t>Τέλος</w:t>
      </w:r>
      <w:r w:rsidR="00D8123E">
        <w:rPr>
          <w:rFonts w:ascii="Bookman Old Style" w:hAnsi="Bookman Old Style"/>
          <w:sz w:val="24"/>
          <w:szCs w:val="24"/>
          <w:lang w:val="el-GR"/>
        </w:rPr>
        <w:t>,</w:t>
      </w:r>
      <w:r w:rsidR="00AB3A5A" w:rsidRPr="00AB3A5A">
        <w:rPr>
          <w:rFonts w:ascii="Bookman Old Style" w:hAnsi="Bookman Old Style"/>
          <w:sz w:val="24"/>
          <w:szCs w:val="24"/>
          <w:lang w:val="el-GR"/>
        </w:rPr>
        <w:t xml:space="preserve"> το ΔΕΕ  αποσαφήνισε, ενόψει </w:t>
      </w:r>
      <w:r w:rsidR="00D8123E">
        <w:rPr>
          <w:rFonts w:ascii="Bookman Old Style" w:hAnsi="Bookman Old Style"/>
          <w:sz w:val="24"/>
          <w:szCs w:val="24"/>
          <w:lang w:val="el-GR"/>
        </w:rPr>
        <w:t xml:space="preserve">και </w:t>
      </w:r>
      <w:r w:rsidR="00AB3A5A" w:rsidRPr="00AB3A5A">
        <w:rPr>
          <w:rFonts w:ascii="Bookman Old Style" w:hAnsi="Bookman Old Style"/>
          <w:sz w:val="24"/>
          <w:szCs w:val="24"/>
          <w:lang w:val="el-GR"/>
        </w:rPr>
        <w:t>της απόφασης «</w:t>
      </w:r>
      <w:r w:rsidR="00AB3A5A" w:rsidRPr="00AB3A5A">
        <w:rPr>
          <w:rFonts w:ascii="Bookman Old Style" w:hAnsi="Bookman Old Style"/>
          <w:sz w:val="24"/>
          <w:szCs w:val="24"/>
        </w:rPr>
        <w:t>Pringle</w:t>
      </w:r>
      <w:r w:rsidR="00AB3A5A" w:rsidRPr="00AB3A5A">
        <w:rPr>
          <w:rFonts w:ascii="Bookman Old Style" w:hAnsi="Bookman Old Style"/>
          <w:sz w:val="24"/>
          <w:szCs w:val="24"/>
          <w:lang w:val="el-GR"/>
        </w:rPr>
        <w:t>», ότι το γεγονός πως η αγορά κρατικών ομολόγων στις δευτερογενείς αγορές</w:t>
      </w:r>
      <w:r w:rsidR="00D8123E">
        <w:rPr>
          <w:rFonts w:ascii="Bookman Old Style" w:hAnsi="Bookman Old Style"/>
          <w:sz w:val="24"/>
          <w:szCs w:val="24"/>
          <w:lang w:val="el-GR"/>
        </w:rPr>
        <w:t>,</w:t>
      </w:r>
      <w:r w:rsidR="00AB3A5A" w:rsidRPr="00AB3A5A">
        <w:rPr>
          <w:rFonts w:ascii="Bookman Old Style" w:hAnsi="Bookman Old Style"/>
          <w:sz w:val="24"/>
          <w:szCs w:val="24"/>
          <w:lang w:val="el-GR"/>
        </w:rPr>
        <w:t xml:space="preserve"> υπό την προϋπόθεση της τήρησης προγράμματος μακροοικονομικής προσαρμογής</w:t>
      </w:r>
      <w:r w:rsidR="00D8123E">
        <w:rPr>
          <w:rFonts w:ascii="Bookman Old Style" w:hAnsi="Bookman Old Style"/>
          <w:sz w:val="24"/>
          <w:szCs w:val="24"/>
          <w:lang w:val="el-GR"/>
        </w:rPr>
        <w:t>,</w:t>
      </w:r>
      <w:r w:rsidR="00AB3A5A" w:rsidRPr="00AB3A5A">
        <w:rPr>
          <w:rFonts w:ascii="Bookman Old Style" w:hAnsi="Bookman Old Style"/>
          <w:sz w:val="24"/>
          <w:szCs w:val="24"/>
          <w:lang w:val="el-GR"/>
        </w:rPr>
        <w:t xml:space="preserve"> κρίθηκε ως εμπίπτουσα στην οικονομική πολιτική όταν διενεργείται από τον </w:t>
      </w:r>
      <w:r w:rsidR="0077368B">
        <w:rPr>
          <w:rFonts w:ascii="Bookman Old Style" w:hAnsi="Bookman Old Style"/>
          <w:sz w:val="24"/>
          <w:szCs w:val="24"/>
          <w:lang w:val="el-GR"/>
        </w:rPr>
        <w:t>«</w:t>
      </w:r>
      <w:r w:rsidR="00D8123E">
        <w:rPr>
          <w:rFonts w:ascii="Bookman Old Style" w:hAnsi="Bookman Old Style"/>
          <w:sz w:val="24"/>
          <w:szCs w:val="24"/>
          <w:lang w:val="el-GR"/>
        </w:rPr>
        <w:t>Ευρωπαϊκό Μηχανισμό Στήριξης</w:t>
      </w:r>
      <w:r w:rsidR="0077368B">
        <w:rPr>
          <w:rFonts w:ascii="Bookman Old Style" w:hAnsi="Bookman Old Style"/>
          <w:sz w:val="24"/>
          <w:szCs w:val="24"/>
          <w:lang w:val="el-GR"/>
        </w:rPr>
        <w:t>»</w:t>
      </w:r>
      <w:r w:rsidR="00D8123E">
        <w:rPr>
          <w:rFonts w:ascii="Bookman Old Style" w:hAnsi="Bookman Old Style"/>
          <w:sz w:val="24"/>
          <w:szCs w:val="24"/>
          <w:lang w:val="el-GR"/>
        </w:rPr>
        <w:t xml:space="preserve"> (</w:t>
      </w:r>
      <w:r w:rsidR="00AB3A5A" w:rsidRPr="00AB3A5A">
        <w:rPr>
          <w:rFonts w:ascii="Bookman Old Style" w:hAnsi="Bookman Old Style"/>
          <w:sz w:val="24"/>
          <w:szCs w:val="24"/>
          <w:lang w:val="el-GR"/>
        </w:rPr>
        <w:t>ΕΜΣ</w:t>
      </w:r>
      <w:r w:rsidR="00D8123E">
        <w:rPr>
          <w:rFonts w:ascii="Bookman Old Style" w:hAnsi="Bookman Old Style"/>
          <w:sz w:val="24"/>
          <w:szCs w:val="24"/>
          <w:lang w:val="el-GR"/>
        </w:rPr>
        <w:t>)</w:t>
      </w:r>
      <w:r w:rsidR="00AB3A5A" w:rsidRPr="00AB3A5A">
        <w:rPr>
          <w:rFonts w:ascii="Bookman Old Style" w:hAnsi="Bookman Old Style"/>
          <w:sz w:val="24"/>
          <w:szCs w:val="24"/>
          <w:lang w:val="el-GR"/>
        </w:rPr>
        <w:t xml:space="preserve"> (βλ. </w:t>
      </w:r>
      <w:r w:rsidR="00D8123E">
        <w:rPr>
          <w:rFonts w:ascii="Bookman Old Style" w:hAnsi="Bookman Old Style"/>
          <w:sz w:val="24"/>
          <w:szCs w:val="24"/>
          <w:lang w:val="el-GR"/>
        </w:rPr>
        <w:t xml:space="preserve">την </w:t>
      </w:r>
      <w:r w:rsidR="00AB3A5A" w:rsidRPr="00AB3A5A">
        <w:rPr>
          <w:rFonts w:ascii="Bookman Old Style" w:hAnsi="Bookman Old Style"/>
          <w:sz w:val="24"/>
          <w:szCs w:val="24"/>
          <w:lang w:val="el-GR"/>
        </w:rPr>
        <w:t>απόφαση «</w:t>
      </w:r>
      <w:r w:rsidR="00AB3A5A" w:rsidRPr="00AB3A5A">
        <w:rPr>
          <w:rFonts w:ascii="Bookman Old Style" w:hAnsi="Bookman Old Style"/>
          <w:sz w:val="24"/>
          <w:szCs w:val="24"/>
        </w:rPr>
        <w:t>Pringle</w:t>
      </w:r>
      <w:r w:rsidR="00AB3A5A" w:rsidRPr="00AB3A5A">
        <w:rPr>
          <w:rFonts w:ascii="Bookman Old Style" w:hAnsi="Bookman Old Style"/>
          <w:sz w:val="24"/>
          <w:szCs w:val="24"/>
          <w:lang w:val="el-GR"/>
        </w:rPr>
        <w:t>», σκ. 60)</w:t>
      </w:r>
      <w:r w:rsidR="00D8123E">
        <w:rPr>
          <w:rFonts w:ascii="Bookman Old Style" w:hAnsi="Bookman Old Style"/>
          <w:sz w:val="24"/>
          <w:szCs w:val="24"/>
          <w:lang w:val="el-GR"/>
        </w:rPr>
        <w:t>,</w:t>
      </w:r>
      <w:r w:rsidR="00AB3A5A" w:rsidRPr="00AB3A5A">
        <w:rPr>
          <w:rFonts w:ascii="Bookman Old Style" w:hAnsi="Bookman Old Style"/>
          <w:sz w:val="24"/>
          <w:szCs w:val="24"/>
          <w:lang w:val="el-GR"/>
        </w:rPr>
        <w:t xml:space="preserve"> δεν συνεπάγεται ότι τούτο πρέπει ομοίως να ισχύει όταν το μέσο αυτό χρησιμοποιείται από το ΕΣΚΤ στο πλαίσιο προγράμματος</w:t>
      </w:r>
      <w:r w:rsidR="00D8123E">
        <w:rPr>
          <w:rFonts w:ascii="Bookman Old Style" w:hAnsi="Bookman Old Style"/>
          <w:sz w:val="24"/>
          <w:szCs w:val="24"/>
          <w:lang w:val="el-GR"/>
        </w:rPr>
        <w:t>,</w:t>
      </w:r>
      <w:r w:rsidR="00AB3A5A" w:rsidRPr="00AB3A5A">
        <w:rPr>
          <w:rFonts w:ascii="Bookman Old Style" w:hAnsi="Bookman Old Style"/>
          <w:sz w:val="24"/>
          <w:szCs w:val="24"/>
          <w:lang w:val="el-GR"/>
        </w:rPr>
        <w:t xml:space="preserve"> όπως εκείνο του </w:t>
      </w:r>
      <w:r w:rsidR="00D8123E">
        <w:rPr>
          <w:rFonts w:ascii="Bookman Old Style" w:hAnsi="Bookman Old Style"/>
          <w:sz w:val="24"/>
          <w:szCs w:val="24"/>
          <w:lang w:val="el-GR"/>
        </w:rPr>
        <w:t>«</w:t>
      </w:r>
      <w:r w:rsidR="00AB3A5A" w:rsidRPr="00AB3A5A">
        <w:rPr>
          <w:rFonts w:ascii="Bookman Old Style" w:hAnsi="Bookman Old Style"/>
          <w:sz w:val="24"/>
          <w:szCs w:val="24"/>
          <w:lang w:val="el-GR"/>
        </w:rPr>
        <w:t>ΟΜΤ</w:t>
      </w:r>
      <w:r w:rsidR="00D8123E">
        <w:rPr>
          <w:rFonts w:ascii="Bookman Old Style" w:hAnsi="Bookman Old Style"/>
          <w:sz w:val="24"/>
          <w:szCs w:val="24"/>
          <w:lang w:val="el-GR"/>
        </w:rPr>
        <w:t>»</w:t>
      </w:r>
      <w:r w:rsidR="00AB3A5A" w:rsidRPr="00AB3A5A">
        <w:rPr>
          <w:rFonts w:ascii="Bookman Old Style" w:hAnsi="Bookman Old Style"/>
          <w:sz w:val="24"/>
          <w:szCs w:val="24"/>
          <w:lang w:val="el-GR"/>
        </w:rPr>
        <w:t>.  Σύμφωνα με το ΔΕΕ, η διαφορά μεταξύ των σκοπών που επιδιώκουν ο ΕΜΣ και το ΕΣΚΤ είναι, συναφώς, καθοριστική</w:t>
      </w:r>
      <w:r w:rsidR="0035421B">
        <w:rPr>
          <w:rFonts w:ascii="Bookman Old Style" w:hAnsi="Bookman Old Style"/>
          <w:sz w:val="24"/>
          <w:szCs w:val="24"/>
          <w:lang w:val="el-GR"/>
        </w:rPr>
        <w:t>.</w:t>
      </w:r>
      <w:r w:rsidR="00AB3A5A" w:rsidRPr="00AB3A5A">
        <w:rPr>
          <w:rFonts w:ascii="Bookman Old Style" w:hAnsi="Bookman Old Style"/>
          <w:sz w:val="24"/>
          <w:szCs w:val="24"/>
          <w:lang w:val="el-GR"/>
        </w:rPr>
        <w:t xml:space="preserve"> </w:t>
      </w:r>
      <w:r w:rsidR="0035421B">
        <w:rPr>
          <w:rFonts w:ascii="Bookman Old Style" w:hAnsi="Bookman Old Style"/>
          <w:sz w:val="24"/>
          <w:szCs w:val="24"/>
          <w:lang w:val="el-GR"/>
        </w:rPr>
        <w:t>Δ</w:t>
      </w:r>
      <w:r w:rsidR="00AB3A5A" w:rsidRPr="00AB3A5A">
        <w:rPr>
          <w:rFonts w:ascii="Bookman Old Style" w:hAnsi="Bookman Old Style"/>
          <w:sz w:val="24"/>
          <w:szCs w:val="24"/>
          <w:lang w:val="el-GR"/>
        </w:rPr>
        <w:t xml:space="preserve">ιότι ενώ το  πρόγραμμα </w:t>
      </w:r>
      <w:r w:rsidR="00D8123E">
        <w:rPr>
          <w:rFonts w:ascii="Bookman Old Style" w:hAnsi="Bookman Old Style"/>
          <w:sz w:val="24"/>
          <w:szCs w:val="24"/>
          <w:lang w:val="el-GR"/>
        </w:rPr>
        <w:t>«</w:t>
      </w:r>
      <w:r w:rsidR="00AB3A5A" w:rsidRPr="00AB3A5A">
        <w:rPr>
          <w:rFonts w:ascii="Bookman Old Style" w:hAnsi="Bookman Old Style"/>
          <w:sz w:val="24"/>
          <w:szCs w:val="24"/>
          <w:lang w:val="el-GR"/>
        </w:rPr>
        <w:t>ΟΜΤ</w:t>
      </w:r>
      <w:r w:rsidR="00D8123E">
        <w:rPr>
          <w:rFonts w:ascii="Bookman Old Style" w:hAnsi="Bookman Old Style"/>
          <w:sz w:val="24"/>
          <w:szCs w:val="24"/>
          <w:lang w:val="el-GR"/>
        </w:rPr>
        <w:t>»</w:t>
      </w:r>
      <w:r w:rsidR="00AB3A5A" w:rsidRPr="00AB3A5A">
        <w:rPr>
          <w:rFonts w:ascii="Bookman Old Style" w:hAnsi="Bookman Old Style"/>
          <w:sz w:val="24"/>
          <w:szCs w:val="24"/>
          <w:lang w:val="el-GR"/>
        </w:rPr>
        <w:t>, ως μέσο άσκησης νομισματικής πολιτικής, μπορεί να τεθεί σ’ εφαρμογή μόνο στον βαθμό που είναι αναγκαίο για τη</w:t>
      </w:r>
      <w:r w:rsidR="00D8123E">
        <w:rPr>
          <w:rFonts w:ascii="Bookman Old Style" w:hAnsi="Bookman Old Style"/>
          <w:sz w:val="24"/>
          <w:szCs w:val="24"/>
          <w:lang w:val="el-GR"/>
        </w:rPr>
        <w:t>ν</w:t>
      </w:r>
      <w:r w:rsidR="00AB3A5A" w:rsidRPr="00AB3A5A">
        <w:rPr>
          <w:rFonts w:ascii="Bookman Old Style" w:hAnsi="Bookman Old Style"/>
          <w:sz w:val="24"/>
          <w:szCs w:val="24"/>
          <w:lang w:val="el-GR"/>
        </w:rPr>
        <w:t xml:space="preserve"> διατήρηση της σταθερότητας των τιμών, η παρέμβαση του ΕΜΣ αποσκοπεί στην διασφάλιση της σταθερότητας της </w:t>
      </w:r>
      <w:r w:rsidR="00D8123E">
        <w:rPr>
          <w:rFonts w:ascii="Bookman Old Style" w:hAnsi="Bookman Old Style"/>
          <w:sz w:val="24"/>
          <w:szCs w:val="24"/>
          <w:lang w:val="el-GR"/>
        </w:rPr>
        <w:t>Ευρωζώνης</w:t>
      </w:r>
      <w:r w:rsidR="00AB3A5A" w:rsidRPr="00AB3A5A">
        <w:rPr>
          <w:rFonts w:ascii="Bookman Old Style" w:hAnsi="Bookman Old Style"/>
          <w:sz w:val="24"/>
          <w:szCs w:val="24"/>
          <w:lang w:val="el-GR"/>
        </w:rPr>
        <w:t>, αυτός δε ο σκοπός δεν εμπίπτει στη</w:t>
      </w:r>
      <w:r w:rsidR="00D8123E">
        <w:rPr>
          <w:rFonts w:ascii="Bookman Old Style" w:hAnsi="Bookman Old Style"/>
          <w:sz w:val="24"/>
          <w:szCs w:val="24"/>
          <w:lang w:val="el-GR"/>
        </w:rPr>
        <w:t>ν</w:t>
      </w:r>
      <w:r w:rsidR="00AB3A5A" w:rsidRPr="00AB3A5A">
        <w:rPr>
          <w:rFonts w:ascii="Bookman Old Style" w:hAnsi="Bookman Old Style"/>
          <w:sz w:val="24"/>
          <w:szCs w:val="24"/>
          <w:lang w:val="el-GR"/>
        </w:rPr>
        <w:t xml:space="preserve"> νομισματική πολιτική (βλ. σκ. 63-64). </w:t>
      </w:r>
    </w:p>
    <w:p w:rsidR="00AB3A5A" w:rsidRPr="00AB3A5A" w:rsidRDefault="00922FA0" w:rsidP="00303AFA">
      <w:pPr>
        <w:pStyle w:val="1"/>
        <w:spacing w:before="240" w:after="240" w:line="360" w:lineRule="auto"/>
        <w:ind w:left="1134" w:hanging="283"/>
        <w:jc w:val="both"/>
        <w:rPr>
          <w:rFonts w:ascii="Bookman Old Style" w:hAnsi="Bookman Old Style"/>
          <w:sz w:val="24"/>
          <w:szCs w:val="24"/>
          <w:lang w:val="el-GR"/>
        </w:rPr>
      </w:pPr>
      <w:r>
        <w:rPr>
          <w:rFonts w:ascii="Bookman Old Style" w:hAnsi="Bookman Old Style"/>
          <w:b/>
          <w:sz w:val="24"/>
          <w:szCs w:val="24"/>
          <w:lang w:val="el-GR"/>
        </w:rPr>
        <w:t>β)</w:t>
      </w:r>
      <w:r w:rsidR="00AB3A5A" w:rsidRPr="00AB3A5A">
        <w:rPr>
          <w:rFonts w:ascii="Bookman Old Style" w:hAnsi="Bookman Old Style"/>
          <w:b/>
          <w:sz w:val="24"/>
          <w:szCs w:val="24"/>
          <w:lang w:val="el-GR"/>
        </w:rPr>
        <w:t xml:space="preserve"> </w:t>
      </w:r>
      <w:r w:rsidR="00AB3A5A" w:rsidRPr="00AB3A5A">
        <w:rPr>
          <w:rFonts w:ascii="Bookman Old Style" w:hAnsi="Bookman Old Style"/>
          <w:sz w:val="24"/>
          <w:szCs w:val="24"/>
          <w:lang w:val="el-GR"/>
        </w:rPr>
        <w:t>Το Δ</w:t>
      </w:r>
      <w:r>
        <w:rPr>
          <w:rFonts w:ascii="Bookman Old Style" w:hAnsi="Bookman Old Style"/>
          <w:sz w:val="24"/>
          <w:szCs w:val="24"/>
          <w:lang w:val="el-GR"/>
        </w:rPr>
        <w:t>ΕΕ</w:t>
      </w:r>
      <w:r w:rsidR="00AB3A5A" w:rsidRPr="00AB3A5A">
        <w:rPr>
          <w:rFonts w:ascii="Bookman Old Style" w:hAnsi="Bookman Old Style"/>
          <w:sz w:val="24"/>
          <w:szCs w:val="24"/>
          <w:lang w:val="el-GR"/>
        </w:rPr>
        <w:t>, εξ άλλου,  έκρινε ότι συνέτρεχε και η δεύτερη ανωτέρω προ</w:t>
      </w:r>
      <w:r w:rsidR="0035421B">
        <w:rPr>
          <w:rFonts w:ascii="Bookman Old Style" w:hAnsi="Bookman Old Style"/>
          <w:sz w:val="24"/>
          <w:szCs w:val="24"/>
          <w:lang w:val="el-GR"/>
        </w:rPr>
        <w:t>ϋ</w:t>
      </w:r>
      <w:r w:rsidR="00AB3A5A" w:rsidRPr="00AB3A5A">
        <w:rPr>
          <w:rFonts w:ascii="Bookman Old Style" w:hAnsi="Bookman Old Style"/>
          <w:sz w:val="24"/>
          <w:szCs w:val="24"/>
          <w:lang w:val="el-GR"/>
        </w:rPr>
        <w:t>πόθεση  της αναλογικότητας,  διότι το επίμαχο πρόγραμμα  επ</w:t>
      </w:r>
      <w:r w:rsidR="00D8123E">
        <w:rPr>
          <w:rFonts w:ascii="Bookman Old Style" w:hAnsi="Bookman Old Style"/>
          <w:sz w:val="24"/>
          <w:szCs w:val="24"/>
          <w:lang w:val="el-GR"/>
        </w:rPr>
        <w:t>έτρεπε</w:t>
      </w:r>
      <w:r w:rsidR="00AB3A5A" w:rsidRPr="00AB3A5A">
        <w:rPr>
          <w:rFonts w:ascii="Bookman Old Style" w:hAnsi="Bookman Old Style"/>
          <w:sz w:val="24"/>
          <w:szCs w:val="24"/>
          <w:lang w:val="el-GR"/>
        </w:rPr>
        <w:t xml:space="preserve"> την αγορά κρατικών ομολόγων στις δευτερογενείς αγορές μόνο στον βαθμό που αυτή είναι αναγκαία για την </w:t>
      </w:r>
      <w:r w:rsidR="00AB3A5A" w:rsidRPr="00AB3A5A">
        <w:rPr>
          <w:rFonts w:ascii="Bookman Old Style" w:hAnsi="Bookman Old Style"/>
          <w:sz w:val="24"/>
          <w:szCs w:val="24"/>
          <w:lang w:val="el-GR"/>
        </w:rPr>
        <w:lastRenderedPageBreak/>
        <w:t xml:space="preserve">επίτευξη των σκοπών του και, επιπλέον, οι σχετικές παρεμβάσεις θα παύσουν μόλις επιτευχθούν οι εν λόγω σκοποί. Το συμπέρασμα αυτό άντλησε το ΔΕΕ συνεκτιμώντας ότι: </w:t>
      </w:r>
    </w:p>
    <w:p w:rsidR="00922FA0" w:rsidRDefault="00922FA0" w:rsidP="00303AFA">
      <w:pPr>
        <w:pStyle w:val="1"/>
        <w:spacing w:before="240" w:after="240" w:line="360" w:lineRule="auto"/>
        <w:ind w:left="1418" w:hanging="284"/>
        <w:jc w:val="both"/>
        <w:rPr>
          <w:rFonts w:ascii="Bookman Old Style" w:hAnsi="Bookman Old Style"/>
          <w:sz w:val="24"/>
          <w:szCs w:val="24"/>
          <w:lang w:val="el-GR"/>
        </w:rPr>
      </w:pPr>
      <w:r>
        <w:rPr>
          <w:rFonts w:ascii="Bookman Old Style" w:hAnsi="Bookman Old Style"/>
          <w:b/>
          <w:sz w:val="24"/>
          <w:szCs w:val="24"/>
          <w:lang w:val="el-GR"/>
        </w:rPr>
        <w:t>β1</w:t>
      </w:r>
      <w:r w:rsidR="00AB3A5A" w:rsidRPr="00AB3A5A">
        <w:rPr>
          <w:rFonts w:ascii="Bookman Old Style" w:hAnsi="Bookman Old Style"/>
          <w:b/>
          <w:sz w:val="24"/>
          <w:szCs w:val="24"/>
          <w:lang w:val="el-GR"/>
        </w:rPr>
        <w:t>)</w:t>
      </w:r>
      <w:r w:rsidR="00AB3A5A" w:rsidRPr="00AB3A5A">
        <w:rPr>
          <w:rFonts w:ascii="Bookman Old Style" w:hAnsi="Bookman Old Style"/>
          <w:sz w:val="24"/>
          <w:szCs w:val="24"/>
          <w:lang w:val="el-GR"/>
        </w:rPr>
        <w:t xml:space="preserve"> Μόνο τα κρατικά ομόλογα των </w:t>
      </w:r>
      <w:r>
        <w:rPr>
          <w:rFonts w:ascii="Bookman Old Style" w:hAnsi="Bookman Old Style"/>
          <w:sz w:val="24"/>
          <w:szCs w:val="24"/>
          <w:lang w:val="el-GR"/>
        </w:rPr>
        <w:t>Κ</w:t>
      </w:r>
      <w:r w:rsidR="00AB3A5A" w:rsidRPr="00AB3A5A">
        <w:rPr>
          <w:rFonts w:ascii="Bookman Old Style" w:hAnsi="Bookman Old Style"/>
          <w:sz w:val="24"/>
          <w:szCs w:val="24"/>
          <w:lang w:val="el-GR"/>
        </w:rPr>
        <w:t>ρατών-</w:t>
      </w:r>
      <w:r>
        <w:rPr>
          <w:rFonts w:ascii="Bookman Old Style" w:hAnsi="Bookman Old Style"/>
          <w:sz w:val="24"/>
          <w:szCs w:val="24"/>
          <w:lang w:val="el-GR"/>
        </w:rPr>
        <w:t>Μ</w:t>
      </w:r>
      <w:r w:rsidR="00AB3A5A" w:rsidRPr="00AB3A5A">
        <w:rPr>
          <w:rFonts w:ascii="Bookman Old Style" w:hAnsi="Bookman Old Style"/>
          <w:sz w:val="24"/>
          <w:szCs w:val="24"/>
          <w:lang w:val="el-GR"/>
        </w:rPr>
        <w:t>ελών</w:t>
      </w:r>
      <w:r w:rsidR="0035421B">
        <w:rPr>
          <w:rFonts w:ascii="Bookman Old Style" w:hAnsi="Bookman Old Style"/>
          <w:sz w:val="24"/>
          <w:szCs w:val="24"/>
          <w:lang w:val="el-GR"/>
        </w:rPr>
        <w:t>,</w:t>
      </w:r>
      <w:r w:rsidR="00AB3A5A" w:rsidRPr="00AB3A5A">
        <w:rPr>
          <w:rFonts w:ascii="Bookman Old Style" w:hAnsi="Bookman Old Style"/>
          <w:sz w:val="24"/>
          <w:szCs w:val="24"/>
          <w:lang w:val="el-GR"/>
        </w:rPr>
        <w:t xml:space="preserve"> που υπάγονται σε πρόγραμμα μακροοικονομικής προσαρμογής και έχουν εκ νέου πρόσβαση στην αγορά ομολόγων</w:t>
      </w:r>
      <w:r w:rsidR="0035421B">
        <w:rPr>
          <w:rFonts w:ascii="Bookman Old Style" w:hAnsi="Bookman Old Style"/>
          <w:sz w:val="24"/>
          <w:szCs w:val="24"/>
          <w:lang w:val="el-GR"/>
        </w:rPr>
        <w:t>,</w:t>
      </w:r>
      <w:r w:rsidR="00AB3A5A" w:rsidRPr="00AB3A5A">
        <w:rPr>
          <w:rFonts w:ascii="Bookman Old Style" w:hAnsi="Bookman Old Style"/>
          <w:sz w:val="24"/>
          <w:szCs w:val="24"/>
          <w:lang w:val="el-GR"/>
        </w:rPr>
        <w:t xml:space="preserve"> μπορούν ν</w:t>
      </w:r>
      <w:r w:rsidR="00D8123E">
        <w:rPr>
          <w:rFonts w:ascii="Bookman Old Style" w:hAnsi="Bookman Old Style"/>
          <w:sz w:val="24"/>
          <w:szCs w:val="24"/>
          <w:lang w:val="el-GR"/>
        </w:rPr>
        <w:t>’</w:t>
      </w:r>
      <w:r w:rsidR="00AB3A5A" w:rsidRPr="00AB3A5A">
        <w:rPr>
          <w:rFonts w:ascii="Bookman Old Style" w:hAnsi="Bookman Old Style"/>
          <w:sz w:val="24"/>
          <w:szCs w:val="24"/>
          <w:lang w:val="el-GR"/>
        </w:rPr>
        <w:t xml:space="preserve"> αγορασθούν από το ΕΣΚΤ</w:t>
      </w:r>
      <w:r w:rsidR="00D8123E">
        <w:rPr>
          <w:rFonts w:ascii="Bookman Old Style" w:hAnsi="Bookman Old Style"/>
          <w:sz w:val="24"/>
          <w:szCs w:val="24"/>
          <w:lang w:val="el-GR"/>
        </w:rPr>
        <w:t>,</w:t>
      </w:r>
      <w:r w:rsidR="00AB3A5A" w:rsidRPr="00AB3A5A">
        <w:rPr>
          <w:rFonts w:ascii="Bookman Old Style" w:hAnsi="Bookman Old Style"/>
          <w:sz w:val="24"/>
          <w:szCs w:val="24"/>
          <w:lang w:val="el-GR"/>
        </w:rPr>
        <w:t xml:space="preserve"> στο πλαίσιο ενός τέτοιου προγράμματος. </w:t>
      </w:r>
    </w:p>
    <w:p w:rsidR="00922FA0" w:rsidRDefault="00AB3A5A" w:rsidP="00303AFA">
      <w:pPr>
        <w:pStyle w:val="1"/>
        <w:spacing w:before="240" w:after="240" w:line="360" w:lineRule="auto"/>
        <w:ind w:left="1418" w:hanging="284"/>
        <w:jc w:val="both"/>
        <w:rPr>
          <w:rFonts w:ascii="Bookman Old Style" w:hAnsi="Bookman Old Style"/>
          <w:sz w:val="24"/>
          <w:szCs w:val="24"/>
          <w:lang w:val="el-GR"/>
        </w:rPr>
      </w:pPr>
      <w:r w:rsidRPr="00AB3A5A">
        <w:rPr>
          <w:rFonts w:ascii="Bookman Old Style" w:hAnsi="Bookman Old Style"/>
          <w:b/>
          <w:sz w:val="24"/>
          <w:szCs w:val="24"/>
          <w:lang w:val="el-GR"/>
        </w:rPr>
        <w:t>β</w:t>
      </w:r>
      <w:r w:rsidR="00922FA0">
        <w:rPr>
          <w:rFonts w:ascii="Bookman Old Style" w:hAnsi="Bookman Old Style"/>
          <w:b/>
          <w:sz w:val="24"/>
          <w:szCs w:val="24"/>
          <w:lang w:val="el-GR"/>
        </w:rPr>
        <w:t>2</w:t>
      </w:r>
      <w:r w:rsidRPr="00AB3A5A">
        <w:rPr>
          <w:rFonts w:ascii="Bookman Old Style" w:hAnsi="Bookman Old Style"/>
          <w:b/>
          <w:sz w:val="24"/>
          <w:szCs w:val="24"/>
          <w:lang w:val="el-GR"/>
        </w:rPr>
        <w:t>)</w:t>
      </w:r>
      <w:r w:rsidRPr="00AB3A5A">
        <w:rPr>
          <w:rFonts w:ascii="Bookman Old Style" w:hAnsi="Bookman Old Style"/>
          <w:sz w:val="24"/>
          <w:szCs w:val="24"/>
          <w:lang w:val="el-GR"/>
        </w:rPr>
        <w:t xml:space="preserve"> Το πρόγραμμα </w:t>
      </w:r>
      <w:r w:rsidR="00D8123E">
        <w:rPr>
          <w:rFonts w:ascii="Bookman Old Style" w:hAnsi="Bookman Old Style"/>
          <w:sz w:val="24"/>
          <w:szCs w:val="24"/>
          <w:lang w:val="el-GR"/>
        </w:rPr>
        <w:t>«</w:t>
      </w:r>
      <w:r w:rsidRPr="00AB3A5A">
        <w:rPr>
          <w:rFonts w:ascii="Bookman Old Style" w:hAnsi="Bookman Old Style"/>
          <w:sz w:val="24"/>
          <w:szCs w:val="24"/>
          <w:lang w:val="el-GR"/>
        </w:rPr>
        <w:t>ΟΜΤ</w:t>
      </w:r>
      <w:r w:rsidR="00D8123E">
        <w:rPr>
          <w:rFonts w:ascii="Bookman Old Style" w:hAnsi="Bookman Old Style"/>
          <w:sz w:val="24"/>
          <w:szCs w:val="24"/>
          <w:lang w:val="el-GR"/>
        </w:rPr>
        <w:t>»</w:t>
      </w:r>
      <w:r w:rsidRPr="00AB3A5A">
        <w:rPr>
          <w:rFonts w:ascii="Bookman Old Style" w:hAnsi="Bookman Old Style"/>
          <w:sz w:val="24"/>
          <w:szCs w:val="24"/>
          <w:lang w:val="el-GR"/>
        </w:rPr>
        <w:t xml:space="preserve">  επικεντρώνεται στα κρατικά ομόλογα, τα οποία λήγουν μετά από τουλάχιστον τρία έτη, το δε ΕΣΚΤ διατ</w:t>
      </w:r>
      <w:r w:rsidR="00D8123E">
        <w:rPr>
          <w:rFonts w:ascii="Bookman Old Style" w:hAnsi="Bookman Old Style"/>
          <w:sz w:val="24"/>
          <w:szCs w:val="24"/>
          <w:lang w:val="el-GR"/>
        </w:rPr>
        <w:t>ηρούσε</w:t>
      </w:r>
      <w:r w:rsidRPr="00AB3A5A">
        <w:rPr>
          <w:rFonts w:ascii="Bookman Old Style" w:hAnsi="Bookman Old Style"/>
          <w:sz w:val="24"/>
          <w:szCs w:val="24"/>
          <w:lang w:val="el-GR"/>
        </w:rPr>
        <w:t xml:space="preserve"> το δικαίωμα να επαναπωλήσει οποτεδήποτε τα αγορασθέντα ομόλογα. </w:t>
      </w:r>
    </w:p>
    <w:p w:rsidR="00AB3A5A" w:rsidRPr="00AB3A5A" w:rsidRDefault="00922FA0" w:rsidP="00303AFA">
      <w:pPr>
        <w:pStyle w:val="1"/>
        <w:spacing w:before="240" w:after="240" w:line="360" w:lineRule="auto"/>
        <w:ind w:left="1418" w:hanging="284"/>
        <w:jc w:val="both"/>
        <w:rPr>
          <w:rFonts w:ascii="Bookman Old Style" w:hAnsi="Bookman Old Style"/>
          <w:sz w:val="24"/>
          <w:szCs w:val="24"/>
          <w:lang w:val="el-GR"/>
        </w:rPr>
      </w:pPr>
      <w:r>
        <w:rPr>
          <w:rFonts w:ascii="Bookman Old Style" w:hAnsi="Bookman Old Style"/>
          <w:b/>
          <w:sz w:val="24"/>
          <w:szCs w:val="24"/>
          <w:lang w:val="el-GR"/>
        </w:rPr>
        <w:t>β3</w:t>
      </w:r>
      <w:r w:rsidR="00AB3A5A" w:rsidRPr="00AB3A5A">
        <w:rPr>
          <w:rFonts w:ascii="Bookman Old Style" w:hAnsi="Bookman Old Style"/>
          <w:b/>
          <w:sz w:val="24"/>
          <w:szCs w:val="24"/>
          <w:lang w:val="el-GR"/>
        </w:rPr>
        <w:t>)</w:t>
      </w:r>
      <w:r w:rsidR="00AB3A5A" w:rsidRPr="00AB3A5A">
        <w:rPr>
          <w:rFonts w:ascii="Bookman Old Style" w:hAnsi="Bookman Old Style"/>
          <w:sz w:val="24"/>
          <w:szCs w:val="24"/>
          <w:lang w:val="el-GR"/>
        </w:rPr>
        <w:t xml:space="preserve"> Τέλος, συνεπεία των ανωτέρω  δύο στοιχείων</w:t>
      </w:r>
      <w:r w:rsidR="0035421B">
        <w:rPr>
          <w:rFonts w:ascii="Bookman Old Style" w:hAnsi="Bookman Old Style"/>
          <w:sz w:val="24"/>
          <w:szCs w:val="24"/>
          <w:lang w:val="el-GR"/>
        </w:rPr>
        <w:t>,</w:t>
      </w:r>
      <w:r w:rsidR="00AB3A5A" w:rsidRPr="00AB3A5A">
        <w:rPr>
          <w:rFonts w:ascii="Bookman Old Style" w:hAnsi="Bookman Old Style"/>
          <w:sz w:val="24"/>
          <w:szCs w:val="24"/>
          <w:lang w:val="el-GR"/>
        </w:rPr>
        <w:t xml:space="preserve"> το επίμαχο πρόγραμμα αφορ</w:t>
      </w:r>
      <w:r w:rsidR="00D8123E">
        <w:rPr>
          <w:rFonts w:ascii="Bookman Old Style" w:hAnsi="Bookman Old Style"/>
          <w:sz w:val="24"/>
          <w:szCs w:val="24"/>
          <w:lang w:val="el-GR"/>
        </w:rPr>
        <w:t>ούσε</w:t>
      </w:r>
      <w:r w:rsidR="00AB3A5A" w:rsidRPr="00AB3A5A">
        <w:rPr>
          <w:rFonts w:ascii="Bookman Old Style" w:hAnsi="Bookman Old Style"/>
          <w:sz w:val="24"/>
          <w:szCs w:val="24"/>
          <w:lang w:val="el-GR"/>
        </w:rPr>
        <w:t>, κατ’ αποτέλεσμα, μόνο</w:t>
      </w:r>
      <w:r w:rsidR="00D8123E">
        <w:rPr>
          <w:rFonts w:ascii="Bookman Old Style" w:hAnsi="Bookman Old Style"/>
          <w:sz w:val="24"/>
          <w:szCs w:val="24"/>
          <w:lang w:val="el-GR"/>
        </w:rPr>
        <w:t>ν</w:t>
      </w:r>
      <w:r w:rsidR="00AB3A5A" w:rsidRPr="00AB3A5A">
        <w:rPr>
          <w:rFonts w:ascii="Bookman Old Style" w:hAnsi="Bookman Old Style"/>
          <w:sz w:val="24"/>
          <w:szCs w:val="24"/>
          <w:lang w:val="el-GR"/>
        </w:rPr>
        <w:t xml:space="preserve"> ένα περιορισμένο τμήμα κρατικών ομολόγων που </w:t>
      </w:r>
      <w:r w:rsidR="00D8123E">
        <w:rPr>
          <w:rFonts w:ascii="Bookman Old Style" w:hAnsi="Bookman Old Style"/>
          <w:sz w:val="24"/>
          <w:szCs w:val="24"/>
          <w:lang w:val="el-GR"/>
        </w:rPr>
        <w:t>είχαν</w:t>
      </w:r>
      <w:r w:rsidR="00AB3A5A" w:rsidRPr="00AB3A5A">
        <w:rPr>
          <w:rFonts w:ascii="Bookman Old Style" w:hAnsi="Bookman Old Style"/>
          <w:sz w:val="24"/>
          <w:szCs w:val="24"/>
          <w:lang w:val="el-GR"/>
        </w:rPr>
        <w:t xml:space="preserve"> εκδοθεί από τα </w:t>
      </w:r>
      <w:r w:rsidR="00D8123E">
        <w:rPr>
          <w:rFonts w:ascii="Bookman Old Style" w:hAnsi="Bookman Old Style"/>
          <w:sz w:val="24"/>
          <w:szCs w:val="24"/>
          <w:lang w:val="el-GR"/>
        </w:rPr>
        <w:t>Κ</w:t>
      </w:r>
      <w:r w:rsidR="00AB3A5A" w:rsidRPr="00AB3A5A">
        <w:rPr>
          <w:rFonts w:ascii="Bookman Old Style" w:hAnsi="Bookman Old Style"/>
          <w:sz w:val="24"/>
          <w:szCs w:val="24"/>
          <w:lang w:val="el-GR"/>
        </w:rPr>
        <w:t xml:space="preserve">ράτη της </w:t>
      </w:r>
      <w:r w:rsidR="00D8123E">
        <w:rPr>
          <w:rFonts w:ascii="Bookman Old Style" w:hAnsi="Bookman Old Style"/>
          <w:sz w:val="24"/>
          <w:szCs w:val="24"/>
          <w:lang w:val="el-GR"/>
        </w:rPr>
        <w:t>Ευρωζώνης</w:t>
      </w:r>
      <w:r w:rsidR="00AB3A5A" w:rsidRPr="00AB3A5A">
        <w:rPr>
          <w:rFonts w:ascii="Bookman Old Style" w:hAnsi="Bookman Old Style"/>
          <w:sz w:val="24"/>
          <w:szCs w:val="24"/>
          <w:lang w:val="el-GR"/>
        </w:rPr>
        <w:t>, οπότε οι δεσμεύσεις</w:t>
      </w:r>
      <w:r w:rsidR="00FA1CA1">
        <w:rPr>
          <w:rFonts w:ascii="Bookman Old Style" w:hAnsi="Bookman Old Style"/>
          <w:sz w:val="24"/>
          <w:szCs w:val="24"/>
          <w:lang w:val="el-GR"/>
        </w:rPr>
        <w:t>,</w:t>
      </w:r>
      <w:r w:rsidR="00AB3A5A" w:rsidRPr="00AB3A5A">
        <w:rPr>
          <w:rFonts w:ascii="Bookman Old Style" w:hAnsi="Bookman Old Style"/>
          <w:sz w:val="24"/>
          <w:szCs w:val="24"/>
          <w:lang w:val="el-GR"/>
        </w:rPr>
        <w:t xml:space="preserve"> τις οποίες η ΕΚΤ </w:t>
      </w:r>
      <w:r w:rsidR="0035421B">
        <w:rPr>
          <w:rFonts w:ascii="Bookman Old Style" w:hAnsi="Bookman Old Style"/>
          <w:sz w:val="24"/>
          <w:szCs w:val="24"/>
          <w:lang w:val="el-GR"/>
        </w:rPr>
        <w:t>μπορεί</w:t>
      </w:r>
      <w:r w:rsidR="00AB3A5A" w:rsidRPr="00AB3A5A">
        <w:rPr>
          <w:rFonts w:ascii="Bookman Old Style" w:hAnsi="Bookman Old Style"/>
          <w:sz w:val="24"/>
          <w:szCs w:val="24"/>
          <w:lang w:val="el-GR"/>
        </w:rPr>
        <w:t xml:space="preserve"> ν’ αναλάβει κατά την εφαρμογή του είναι, εκ των πραγμάτων, οριοθετημένες και περιορισμένες (βλ. σκ. 66-92).</w:t>
      </w:r>
    </w:p>
    <w:p w:rsidR="00AB3A5A" w:rsidRPr="00AB3A5A" w:rsidRDefault="00922FA0" w:rsidP="00303AFA">
      <w:pPr>
        <w:pStyle w:val="1"/>
        <w:spacing w:before="240" w:after="240" w:line="360" w:lineRule="auto"/>
        <w:ind w:left="1134" w:hanging="283"/>
        <w:jc w:val="both"/>
        <w:rPr>
          <w:rFonts w:ascii="Bookman Old Style" w:hAnsi="Bookman Old Style"/>
          <w:sz w:val="24"/>
          <w:szCs w:val="24"/>
          <w:lang w:val="el-GR"/>
        </w:rPr>
      </w:pPr>
      <w:r>
        <w:rPr>
          <w:rFonts w:ascii="Bookman Old Style" w:hAnsi="Bookman Old Style"/>
          <w:b/>
          <w:sz w:val="24"/>
          <w:szCs w:val="24"/>
          <w:lang w:val="el-GR"/>
        </w:rPr>
        <w:t>γ)</w:t>
      </w:r>
      <w:r w:rsidR="00AB3A5A" w:rsidRPr="00AB3A5A">
        <w:rPr>
          <w:rFonts w:ascii="Bookman Old Style" w:hAnsi="Bookman Old Style"/>
          <w:sz w:val="24"/>
          <w:szCs w:val="24"/>
          <w:lang w:val="el-GR"/>
        </w:rPr>
        <w:t xml:space="preserve"> Σε σχέση με την τρίτη προϋπόθεση</w:t>
      </w:r>
      <w:r w:rsidR="00FA1CA1">
        <w:rPr>
          <w:rFonts w:ascii="Bookman Old Style" w:hAnsi="Bookman Old Style"/>
          <w:sz w:val="24"/>
          <w:szCs w:val="24"/>
          <w:lang w:val="el-GR"/>
        </w:rPr>
        <w:t>,</w:t>
      </w:r>
      <w:r w:rsidR="00AB3A5A" w:rsidRPr="00AB3A5A">
        <w:rPr>
          <w:rFonts w:ascii="Bookman Old Style" w:hAnsi="Bookman Old Style"/>
          <w:sz w:val="24"/>
          <w:szCs w:val="24"/>
          <w:lang w:val="el-GR"/>
        </w:rPr>
        <w:t xml:space="preserve"> το ΔΕΕ</w:t>
      </w:r>
      <w:r w:rsidR="00FA1CA1">
        <w:rPr>
          <w:rFonts w:ascii="Bookman Old Style" w:hAnsi="Bookman Old Style"/>
          <w:sz w:val="24"/>
          <w:szCs w:val="24"/>
          <w:lang w:val="el-GR"/>
        </w:rPr>
        <w:t>,</w:t>
      </w:r>
      <w:r w:rsidR="00AB3A5A" w:rsidRPr="00AB3A5A">
        <w:rPr>
          <w:rFonts w:ascii="Bookman Old Style" w:hAnsi="Bookman Old Style"/>
          <w:sz w:val="24"/>
          <w:szCs w:val="24"/>
          <w:lang w:val="el-GR"/>
        </w:rPr>
        <w:t xml:space="preserve"> εξετάζοντας τους σκοπούς και τις βασικές πτυχές του προγράμματος</w:t>
      </w:r>
      <w:r>
        <w:rPr>
          <w:rFonts w:ascii="Bookman Old Style" w:hAnsi="Bookman Old Style"/>
          <w:sz w:val="24"/>
          <w:szCs w:val="24"/>
          <w:lang w:val="el-GR"/>
        </w:rPr>
        <w:t>,</w:t>
      </w:r>
      <w:r w:rsidR="00AB3A5A" w:rsidRPr="00AB3A5A">
        <w:rPr>
          <w:rFonts w:ascii="Bookman Old Style" w:hAnsi="Bookman Old Style"/>
          <w:sz w:val="24"/>
          <w:szCs w:val="24"/>
          <w:lang w:val="el-GR"/>
        </w:rPr>
        <w:t xml:space="preserve"> έκρινε ότι δεν συνέτρεχε κίνδυνος καταστρατήγησης της απαγόρευσης της νομισματικής χρηματοδότησης των </w:t>
      </w:r>
      <w:r>
        <w:rPr>
          <w:rFonts w:ascii="Bookman Old Style" w:hAnsi="Bookman Old Style"/>
          <w:sz w:val="24"/>
          <w:szCs w:val="24"/>
          <w:lang w:val="el-GR"/>
        </w:rPr>
        <w:t>Κ</w:t>
      </w:r>
      <w:r w:rsidR="00AB3A5A" w:rsidRPr="00AB3A5A">
        <w:rPr>
          <w:rFonts w:ascii="Bookman Old Style" w:hAnsi="Bookman Old Style"/>
          <w:sz w:val="24"/>
          <w:szCs w:val="24"/>
          <w:lang w:val="el-GR"/>
        </w:rPr>
        <w:t>ρατών-</w:t>
      </w:r>
      <w:r>
        <w:rPr>
          <w:rFonts w:ascii="Bookman Old Style" w:hAnsi="Bookman Old Style"/>
          <w:sz w:val="24"/>
          <w:szCs w:val="24"/>
          <w:lang w:val="el-GR"/>
        </w:rPr>
        <w:t>Μ</w:t>
      </w:r>
      <w:r w:rsidR="00AB3A5A" w:rsidRPr="00AB3A5A">
        <w:rPr>
          <w:rFonts w:ascii="Bookman Old Style" w:hAnsi="Bookman Old Style"/>
          <w:sz w:val="24"/>
          <w:szCs w:val="24"/>
          <w:lang w:val="el-GR"/>
        </w:rPr>
        <w:t>ελών</w:t>
      </w:r>
      <w:r>
        <w:rPr>
          <w:rFonts w:ascii="Bookman Old Style" w:hAnsi="Bookman Old Style"/>
          <w:sz w:val="24"/>
          <w:szCs w:val="24"/>
          <w:lang w:val="el-GR"/>
        </w:rPr>
        <w:t>:</w:t>
      </w:r>
      <w:r w:rsidR="00AB3A5A" w:rsidRPr="00AB3A5A">
        <w:rPr>
          <w:rFonts w:ascii="Bookman Old Style" w:hAnsi="Bookman Old Style"/>
          <w:sz w:val="24"/>
          <w:szCs w:val="24"/>
          <w:lang w:val="el-GR"/>
        </w:rPr>
        <w:t xml:space="preserve"> </w:t>
      </w:r>
    </w:p>
    <w:p w:rsidR="00922FA0" w:rsidRDefault="00922FA0" w:rsidP="00303AFA">
      <w:pPr>
        <w:pStyle w:val="1"/>
        <w:spacing w:before="240" w:after="240" w:line="360" w:lineRule="auto"/>
        <w:ind w:left="1418" w:hanging="284"/>
        <w:jc w:val="both"/>
        <w:rPr>
          <w:rFonts w:ascii="Bookman Old Style" w:hAnsi="Bookman Old Style"/>
          <w:sz w:val="24"/>
          <w:szCs w:val="24"/>
          <w:lang w:val="el-GR"/>
        </w:rPr>
      </w:pPr>
      <w:r>
        <w:rPr>
          <w:rFonts w:ascii="Bookman Old Style" w:hAnsi="Bookman Old Style"/>
          <w:b/>
          <w:sz w:val="24"/>
          <w:szCs w:val="24"/>
          <w:lang w:val="el-GR"/>
        </w:rPr>
        <w:t>γ1</w:t>
      </w:r>
      <w:r w:rsidR="00AB3A5A" w:rsidRPr="00AB3A5A">
        <w:rPr>
          <w:rFonts w:ascii="Bookman Old Style" w:hAnsi="Bookman Old Style"/>
          <w:b/>
          <w:sz w:val="24"/>
          <w:szCs w:val="24"/>
          <w:lang w:val="el-GR"/>
        </w:rPr>
        <w:t>)</w:t>
      </w:r>
      <w:r w:rsidR="00AB3A5A" w:rsidRPr="00AB3A5A">
        <w:rPr>
          <w:rFonts w:ascii="Bookman Old Style" w:hAnsi="Bookman Old Style"/>
          <w:sz w:val="24"/>
          <w:szCs w:val="24"/>
          <w:lang w:val="el-GR"/>
        </w:rPr>
        <w:t xml:space="preserve"> Πρώτον, διότι ο περιορισμός  της παρέμβασης του ΕΣΚΤ -με δεδομένο ότι το εν λόγω πρόγραμμα προβλέπει την αγορά κρατικών ομολόγων μόνο στο μέτρο που αυτό είναι αναγκαίο για την διασφάλιση του μηχανισμού μετάδοσης της νομισματικής πολιτικής και του ενιαίου χαρακτήρα της και ότι οι σχετικές παρεμβάσεις </w:t>
      </w:r>
      <w:r w:rsidR="00FA1CA1">
        <w:rPr>
          <w:rFonts w:ascii="Bookman Old Style" w:hAnsi="Bookman Old Style"/>
          <w:sz w:val="24"/>
          <w:szCs w:val="24"/>
          <w:lang w:val="el-GR"/>
        </w:rPr>
        <w:t>παύουν</w:t>
      </w:r>
      <w:r w:rsidR="00AB3A5A" w:rsidRPr="00AB3A5A">
        <w:rPr>
          <w:rFonts w:ascii="Bookman Old Style" w:hAnsi="Bookman Old Style"/>
          <w:sz w:val="24"/>
          <w:szCs w:val="24"/>
          <w:lang w:val="el-GR"/>
        </w:rPr>
        <w:t xml:space="preserve"> μόλις επιτευχθούν οι ως άνω σ</w:t>
      </w:r>
      <w:r w:rsidR="0035421B">
        <w:rPr>
          <w:rFonts w:ascii="Bookman Old Style" w:hAnsi="Bookman Old Style"/>
          <w:sz w:val="24"/>
          <w:szCs w:val="24"/>
          <w:lang w:val="el-GR"/>
        </w:rPr>
        <w:t>τόχοι</w:t>
      </w:r>
      <w:r w:rsidR="00AB3A5A" w:rsidRPr="00AB3A5A">
        <w:rPr>
          <w:rFonts w:ascii="Bookman Old Style" w:hAnsi="Bookman Old Style"/>
          <w:sz w:val="24"/>
          <w:szCs w:val="24"/>
          <w:lang w:val="el-GR"/>
        </w:rPr>
        <w:t xml:space="preserve">- συνεπάγεται αφενός ότι τα </w:t>
      </w:r>
      <w:r w:rsidR="00FA1CA1">
        <w:rPr>
          <w:rFonts w:ascii="Bookman Old Style" w:hAnsi="Bookman Old Style"/>
          <w:sz w:val="24"/>
          <w:szCs w:val="24"/>
          <w:lang w:val="el-GR"/>
        </w:rPr>
        <w:t>Κ</w:t>
      </w:r>
      <w:r w:rsidR="00AB3A5A" w:rsidRPr="00AB3A5A">
        <w:rPr>
          <w:rFonts w:ascii="Bookman Old Style" w:hAnsi="Bookman Old Style"/>
          <w:sz w:val="24"/>
          <w:szCs w:val="24"/>
          <w:lang w:val="el-GR"/>
        </w:rPr>
        <w:t>ράτη-</w:t>
      </w:r>
      <w:r w:rsidR="00FA1CA1">
        <w:rPr>
          <w:rFonts w:ascii="Bookman Old Style" w:hAnsi="Bookman Old Style"/>
          <w:sz w:val="24"/>
          <w:szCs w:val="24"/>
          <w:lang w:val="el-GR"/>
        </w:rPr>
        <w:t>Μ</w:t>
      </w:r>
      <w:r w:rsidR="00AB3A5A" w:rsidRPr="00AB3A5A">
        <w:rPr>
          <w:rFonts w:ascii="Bookman Old Style" w:hAnsi="Bookman Old Style"/>
          <w:sz w:val="24"/>
          <w:szCs w:val="24"/>
          <w:lang w:val="el-GR"/>
        </w:rPr>
        <w:t xml:space="preserve">έλη δεν </w:t>
      </w:r>
      <w:r w:rsidR="00AB3A5A" w:rsidRPr="00AB3A5A">
        <w:rPr>
          <w:rFonts w:ascii="Bookman Old Style" w:hAnsi="Bookman Old Style"/>
          <w:sz w:val="24"/>
          <w:szCs w:val="24"/>
          <w:lang w:val="el-GR"/>
        </w:rPr>
        <w:lastRenderedPageBreak/>
        <w:t>μπορούν να καθορίσουν τη δημοσιονομική τους πολιτική</w:t>
      </w:r>
      <w:r w:rsidR="00FA1CA1">
        <w:rPr>
          <w:rFonts w:ascii="Bookman Old Style" w:hAnsi="Bookman Old Style"/>
          <w:sz w:val="24"/>
          <w:szCs w:val="24"/>
          <w:lang w:val="el-GR"/>
        </w:rPr>
        <w:t>,</w:t>
      </w:r>
      <w:r w:rsidR="00AB3A5A" w:rsidRPr="00AB3A5A">
        <w:rPr>
          <w:rFonts w:ascii="Bookman Old Style" w:hAnsi="Bookman Old Style"/>
          <w:sz w:val="24"/>
          <w:szCs w:val="24"/>
          <w:lang w:val="el-GR"/>
        </w:rPr>
        <w:t xml:space="preserve"> βασιζόμενα στην βεβαιότητα της μελλοντικής επαναγοράς των κρατικών τους ομολόγων στις δευτερογενείς αγορές από το ΕΣΚΤ. Και, αφετέρου, ότι το ίδιο πρόγραμμα δεν μπορεί να τεθεί σ’ εφαρμογή κατά τρόπο που να επιφέρει εναρμόνιση των επιτοκίων, τα οποία εφαρμόζονται στα κρατικά ομόλογα των </w:t>
      </w:r>
      <w:r w:rsidR="00FA1CA1">
        <w:rPr>
          <w:rFonts w:ascii="Bookman Old Style" w:hAnsi="Bookman Old Style"/>
          <w:sz w:val="24"/>
          <w:szCs w:val="24"/>
          <w:lang w:val="el-GR"/>
        </w:rPr>
        <w:t>Κ</w:t>
      </w:r>
      <w:r w:rsidR="00AB3A5A" w:rsidRPr="00AB3A5A">
        <w:rPr>
          <w:rFonts w:ascii="Bookman Old Style" w:hAnsi="Bookman Old Style"/>
          <w:sz w:val="24"/>
          <w:szCs w:val="24"/>
          <w:lang w:val="el-GR"/>
        </w:rPr>
        <w:t>ρατών-</w:t>
      </w:r>
      <w:r w:rsidR="00FA1CA1">
        <w:rPr>
          <w:rFonts w:ascii="Bookman Old Style" w:hAnsi="Bookman Old Style"/>
          <w:sz w:val="24"/>
          <w:szCs w:val="24"/>
          <w:lang w:val="el-GR"/>
        </w:rPr>
        <w:t>Μ</w:t>
      </w:r>
      <w:r w:rsidR="00AB3A5A" w:rsidRPr="00AB3A5A">
        <w:rPr>
          <w:rFonts w:ascii="Bookman Old Style" w:hAnsi="Bookman Old Style"/>
          <w:sz w:val="24"/>
          <w:szCs w:val="24"/>
          <w:lang w:val="el-GR"/>
        </w:rPr>
        <w:t xml:space="preserve">ελών της </w:t>
      </w:r>
      <w:r w:rsidR="00FA1CA1">
        <w:rPr>
          <w:rFonts w:ascii="Bookman Old Style" w:hAnsi="Bookman Old Style"/>
          <w:sz w:val="24"/>
          <w:szCs w:val="24"/>
          <w:lang w:val="el-GR"/>
        </w:rPr>
        <w:t>Ευρωζώνης</w:t>
      </w:r>
      <w:r w:rsidR="00AB3A5A" w:rsidRPr="00AB3A5A">
        <w:rPr>
          <w:rFonts w:ascii="Bookman Old Style" w:hAnsi="Bookman Old Style"/>
          <w:sz w:val="24"/>
          <w:szCs w:val="24"/>
          <w:lang w:val="el-GR"/>
        </w:rPr>
        <w:t xml:space="preserve">, ανεξάρτητα από τις διαφορές που οφείλονται στη μακροοικονομική ή δημοσιονομική κατάστασή τους.    </w:t>
      </w:r>
    </w:p>
    <w:p w:rsidR="00922FA0" w:rsidRDefault="00922FA0" w:rsidP="00303AFA">
      <w:pPr>
        <w:pStyle w:val="1"/>
        <w:spacing w:before="240" w:after="240" w:line="360" w:lineRule="auto"/>
        <w:ind w:left="1418" w:hanging="284"/>
        <w:jc w:val="both"/>
        <w:rPr>
          <w:rFonts w:ascii="Bookman Old Style" w:hAnsi="Bookman Old Style"/>
          <w:sz w:val="24"/>
          <w:szCs w:val="24"/>
          <w:lang w:val="el-GR"/>
        </w:rPr>
      </w:pPr>
      <w:r>
        <w:rPr>
          <w:rFonts w:ascii="Bookman Old Style" w:hAnsi="Bookman Old Style"/>
          <w:b/>
          <w:sz w:val="24"/>
          <w:szCs w:val="24"/>
          <w:lang w:val="el-GR"/>
        </w:rPr>
        <w:t>γ2</w:t>
      </w:r>
      <w:r w:rsidR="00AB3A5A" w:rsidRPr="00AB3A5A">
        <w:rPr>
          <w:rFonts w:ascii="Bookman Old Style" w:hAnsi="Bookman Old Style"/>
          <w:b/>
          <w:sz w:val="24"/>
          <w:szCs w:val="24"/>
          <w:lang w:val="el-GR"/>
        </w:rPr>
        <w:t xml:space="preserve">) </w:t>
      </w:r>
      <w:r w:rsidR="00AB3A5A" w:rsidRPr="00AB3A5A">
        <w:rPr>
          <w:rFonts w:ascii="Bookman Old Style" w:hAnsi="Bookman Old Style"/>
          <w:sz w:val="24"/>
          <w:szCs w:val="24"/>
          <w:lang w:val="el-GR"/>
        </w:rPr>
        <w:t xml:space="preserve">Δεύτερον, διότι </w:t>
      </w:r>
      <w:r w:rsidR="00CE42E4">
        <w:rPr>
          <w:rFonts w:ascii="Bookman Old Style" w:hAnsi="Bookman Old Style"/>
          <w:sz w:val="24"/>
          <w:szCs w:val="24"/>
          <w:lang w:val="el-GR"/>
        </w:rPr>
        <w:t xml:space="preserve">το </w:t>
      </w:r>
      <w:r w:rsidR="00AB3A5A" w:rsidRPr="00AB3A5A">
        <w:rPr>
          <w:rFonts w:ascii="Bookman Old Style" w:hAnsi="Bookman Old Style"/>
          <w:sz w:val="24"/>
          <w:szCs w:val="24"/>
          <w:lang w:val="el-GR"/>
        </w:rPr>
        <w:t>επίμαχο στην κύρια δίκη πρόγραμμα συνοδεύεται από σειρά εγγυήσεων</w:t>
      </w:r>
      <w:r w:rsidR="00FA1CA1">
        <w:rPr>
          <w:rFonts w:ascii="Bookman Old Style" w:hAnsi="Bookman Old Style"/>
          <w:sz w:val="24"/>
          <w:szCs w:val="24"/>
          <w:lang w:val="el-GR"/>
        </w:rPr>
        <w:t>,</w:t>
      </w:r>
      <w:r w:rsidR="00AB3A5A" w:rsidRPr="00AB3A5A">
        <w:rPr>
          <w:rFonts w:ascii="Bookman Old Style" w:hAnsi="Bookman Old Style"/>
          <w:sz w:val="24"/>
          <w:szCs w:val="24"/>
          <w:lang w:val="el-GR"/>
        </w:rPr>
        <w:t xml:space="preserve"> που αποσκοπούν στον περιορισμό των συνεπειών του επί της παρότρυνσης για εφαρμογή υγιούς δημοσιονομικής πολιτικής. Ειδικότερα, περιορίζοντας το πρόγραμμα αυτό σε ορισμένα είδη ομολόγων</w:t>
      </w:r>
      <w:r w:rsidR="00FA1CA1">
        <w:rPr>
          <w:rFonts w:ascii="Bookman Old Style" w:hAnsi="Bookman Old Style"/>
          <w:sz w:val="24"/>
          <w:szCs w:val="24"/>
          <w:lang w:val="el-GR"/>
        </w:rPr>
        <w:t>,</w:t>
      </w:r>
      <w:r w:rsidR="00AB3A5A" w:rsidRPr="00AB3A5A">
        <w:rPr>
          <w:rFonts w:ascii="Bookman Old Style" w:hAnsi="Bookman Old Style"/>
          <w:sz w:val="24"/>
          <w:szCs w:val="24"/>
          <w:lang w:val="el-GR"/>
        </w:rPr>
        <w:t xml:space="preserve"> εκδοθέντων από εκείνα μόνο τα </w:t>
      </w:r>
      <w:r>
        <w:rPr>
          <w:rFonts w:ascii="Bookman Old Style" w:hAnsi="Bookman Old Style"/>
          <w:sz w:val="24"/>
          <w:szCs w:val="24"/>
          <w:lang w:val="el-GR"/>
        </w:rPr>
        <w:t>Κ</w:t>
      </w:r>
      <w:r w:rsidR="00AB3A5A" w:rsidRPr="00AB3A5A">
        <w:rPr>
          <w:rFonts w:ascii="Bookman Old Style" w:hAnsi="Bookman Old Style"/>
          <w:sz w:val="24"/>
          <w:szCs w:val="24"/>
          <w:lang w:val="el-GR"/>
        </w:rPr>
        <w:t>ράτη-</w:t>
      </w:r>
      <w:r>
        <w:rPr>
          <w:rFonts w:ascii="Bookman Old Style" w:hAnsi="Bookman Old Style"/>
          <w:sz w:val="24"/>
          <w:szCs w:val="24"/>
          <w:lang w:val="el-GR"/>
        </w:rPr>
        <w:t>Μ</w:t>
      </w:r>
      <w:r w:rsidR="00AB3A5A" w:rsidRPr="00AB3A5A">
        <w:rPr>
          <w:rFonts w:ascii="Bookman Old Style" w:hAnsi="Bookman Old Style"/>
          <w:sz w:val="24"/>
          <w:szCs w:val="24"/>
          <w:lang w:val="el-GR"/>
        </w:rPr>
        <w:t xml:space="preserve">έλη που υπάγονται σε πρόγραμμα διαρθρωτικής προσαρμογής και έχουν εκ νέου πρόσβαση στην αγορά των ομολόγων, η ΕΚΤ περιόρισε, </w:t>
      </w:r>
      <w:r w:rsidR="00AB3A5A" w:rsidRPr="00AB3A5A">
        <w:rPr>
          <w:rFonts w:ascii="Bookman Old Style" w:hAnsi="Bookman Old Style"/>
          <w:sz w:val="24"/>
          <w:szCs w:val="24"/>
        </w:rPr>
        <w:t>de</w:t>
      </w:r>
      <w:r w:rsidR="00AB3A5A" w:rsidRPr="00AB3A5A">
        <w:rPr>
          <w:rFonts w:ascii="Bookman Old Style" w:hAnsi="Bookman Old Style"/>
          <w:sz w:val="24"/>
          <w:szCs w:val="24"/>
          <w:lang w:val="el-GR"/>
        </w:rPr>
        <w:t xml:space="preserve"> </w:t>
      </w:r>
      <w:r w:rsidR="00AB3A5A" w:rsidRPr="00AB3A5A">
        <w:rPr>
          <w:rFonts w:ascii="Bookman Old Style" w:hAnsi="Bookman Old Style"/>
          <w:sz w:val="24"/>
          <w:szCs w:val="24"/>
        </w:rPr>
        <w:t>facto</w:t>
      </w:r>
      <w:r w:rsidR="00AB3A5A" w:rsidRPr="00AB3A5A">
        <w:rPr>
          <w:rFonts w:ascii="Bookman Old Style" w:hAnsi="Bookman Old Style"/>
          <w:sz w:val="24"/>
          <w:szCs w:val="24"/>
          <w:lang w:val="el-GR"/>
        </w:rPr>
        <w:t xml:space="preserve">, </w:t>
      </w:r>
      <w:r w:rsidR="00CE42E4">
        <w:rPr>
          <w:rFonts w:ascii="Bookman Old Style" w:hAnsi="Bookman Old Style"/>
          <w:sz w:val="24"/>
          <w:szCs w:val="24"/>
          <w:lang w:val="el-GR"/>
        </w:rPr>
        <w:t xml:space="preserve">και </w:t>
      </w:r>
      <w:r w:rsidR="00AB3A5A" w:rsidRPr="00AB3A5A">
        <w:rPr>
          <w:rFonts w:ascii="Bookman Old Style" w:hAnsi="Bookman Old Style"/>
          <w:sz w:val="24"/>
          <w:szCs w:val="24"/>
          <w:lang w:val="el-GR"/>
        </w:rPr>
        <w:t>τον όγκο των κρατικών ομολόγων</w:t>
      </w:r>
      <w:r w:rsidR="00FA1CA1">
        <w:rPr>
          <w:rFonts w:ascii="Bookman Old Style" w:hAnsi="Bookman Old Style"/>
          <w:sz w:val="24"/>
          <w:szCs w:val="24"/>
          <w:lang w:val="el-GR"/>
        </w:rPr>
        <w:t>,</w:t>
      </w:r>
      <w:r w:rsidR="00AB3A5A" w:rsidRPr="00AB3A5A">
        <w:rPr>
          <w:rFonts w:ascii="Bookman Old Style" w:hAnsi="Bookman Old Style"/>
          <w:sz w:val="24"/>
          <w:szCs w:val="24"/>
          <w:lang w:val="el-GR"/>
        </w:rPr>
        <w:t xml:space="preserve"> τα οποία </w:t>
      </w:r>
      <w:r w:rsidR="0077368B">
        <w:rPr>
          <w:rFonts w:ascii="Bookman Old Style" w:hAnsi="Bookman Old Style"/>
          <w:sz w:val="24"/>
          <w:szCs w:val="24"/>
          <w:lang w:val="el-GR"/>
        </w:rPr>
        <w:t xml:space="preserve">μπορούν </w:t>
      </w:r>
      <w:r w:rsidR="00AB3A5A" w:rsidRPr="00AB3A5A">
        <w:rPr>
          <w:rFonts w:ascii="Bookman Old Style" w:hAnsi="Bookman Old Style"/>
          <w:sz w:val="24"/>
          <w:szCs w:val="24"/>
          <w:lang w:val="el-GR"/>
        </w:rPr>
        <w:t>ν’ αγορασθούν στο πλαίσιο του εν λόγω προγράμματος</w:t>
      </w:r>
      <w:r w:rsidR="00CE42E4">
        <w:rPr>
          <w:rFonts w:ascii="Bookman Old Style" w:hAnsi="Bookman Old Style"/>
          <w:sz w:val="24"/>
          <w:szCs w:val="24"/>
          <w:lang w:val="el-GR"/>
        </w:rPr>
        <w:t xml:space="preserve">. </w:t>
      </w:r>
      <w:r w:rsidR="00AB3A5A" w:rsidRPr="00AB3A5A">
        <w:rPr>
          <w:rFonts w:ascii="Bookman Old Style" w:hAnsi="Bookman Old Style"/>
          <w:sz w:val="24"/>
          <w:szCs w:val="24"/>
          <w:lang w:val="el-GR"/>
        </w:rPr>
        <w:t xml:space="preserve"> </w:t>
      </w:r>
      <w:r w:rsidR="00CE42E4">
        <w:rPr>
          <w:rFonts w:ascii="Bookman Old Style" w:hAnsi="Bookman Old Style"/>
          <w:sz w:val="24"/>
          <w:szCs w:val="24"/>
          <w:lang w:val="el-GR"/>
        </w:rPr>
        <w:t>Ε</w:t>
      </w:r>
      <w:r w:rsidR="00AB3A5A" w:rsidRPr="00AB3A5A">
        <w:rPr>
          <w:rFonts w:ascii="Bookman Old Style" w:hAnsi="Bookman Old Style"/>
          <w:sz w:val="24"/>
          <w:szCs w:val="24"/>
          <w:lang w:val="el-GR"/>
        </w:rPr>
        <w:t xml:space="preserve">πομένως, περιόρισε το εύρος των συνεπειών του προγράμματος τούτου επί των όρων χρηματοδότησης των </w:t>
      </w:r>
      <w:r w:rsidR="00FA1CA1">
        <w:rPr>
          <w:rFonts w:ascii="Bookman Old Style" w:hAnsi="Bookman Old Style"/>
          <w:sz w:val="24"/>
          <w:szCs w:val="24"/>
          <w:lang w:val="el-GR"/>
        </w:rPr>
        <w:t>Κρατών</w:t>
      </w:r>
      <w:r w:rsidR="00CE42E4">
        <w:rPr>
          <w:rFonts w:ascii="Bookman Old Style" w:hAnsi="Bookman Old Style"/>
          <w:sz w:val="24"/>
          <w:szCs w:val="24"/>
          <w:lang w:val="el-GR"/>
        </w:rPr>
        <w:t>-Μελών</w:t>
      </w:r>
      <w:r w:rsidR="00FA1CA1">
        <w:rPr>
          <w:rFonts w:ascii="Bookman Old Style" w:hAnsi="Bookman Old Style"/>
          <w:sz w:val="24"/>
          <w:szCs w:val="24"/>
          <w:lang w:val="el-GR"/>
        </w:rPr>
        <w:t xml:space="preserve"> της Ευρωζώνης.</w:t>
      </w:r>
    </w:p>
    <w:p w:rsidR="00AB3A5A" w:rsidRPr="00AB3A5A" w:rsidRDefault="00AB3A5A" w:rsidP="00303AFA">
      <w:pPr>
        <w:pStyle w:val="1"/>
        <w:spacing w:before="240" w:after="240" w:line="360" w:lineRule="auto"/>
        <w:ind w:left="1418" w:hanging="284"/>
        <w:jc w:val="both"/>
        <w:rPr>
          <w:rFonts w:ascii="Bookman Old Style" w:hAnsi="Bookman Old Style"/>
          <w:sz w:val="24"/>
          <w:szCs w:val="24"/>
          <w:lang w:val="el-GR"/>
        </w:rPr>
      </w:pPr>
      <w:r w:rsidRPr="00AB3A5A">
        <w:rPr>
          <w:rFonts w:ascii="Bookman Old Style" w:hAnsi="Bookman Old Style"/>
          <w:b/>
          <w:sz w:val="24"/>
          <w:szCs w:val="24"/>
          <w:lang w:val="el-GR"/>
        </w:rPr>
        <w:t>γ</w:t>
      </w:r>
      <w:r w:rsidR="00922FA0">
        <w:rPr>
          <w:rFonts w:ascii="Bookman Old Style" w:hAnsi="Bookman Old Style"/>
          <w:b/>
          <w:sz w:val="24"/>
          <w:szCs w:val="24"/>
          <w:lang w:val="el-GR"/>
        </w:rPr>
        <w:t>3</w:t>
      </w:r>
      <w:r w:rsidRPr="00AB3A5A">
        <w:rPr>
          <w:rFonts w:ascii="Bookman Old Style" w:hAnsi="Bookman Old Style"/>
          <w:b/>
          <w:sz w:val="24"/>
          <w:szCs w:val="24"/>
          <w:lang w:val="el-GR"/>
        </w:rPr>
        <w:t xml:space="preserve">) </w:t>
      </w:r>
      <w:r w:rsidRPr="00AB3A5A">
        <w:rPr>
          <w:rFonts w:ascii="Bookman Old Style" w:hAnsi="Bookman Old Style"/>
          <w:sz w:val="24"/>
          <w:szCs w:val="24"/>
          <w:lang w:val="el-GR"/>
        </w:rPr>
        <w:t>Και, τρίτον, διότι εκ του ότι η μη διεκδίκηση προνομιακής μεταχείρισης (</w:t>
      </w:r>
      <w:r w:rsidR="0077368B">
        <w:rPr>
          <w:rFonts w:ascii="Bookman Old Style" w:hAnsi="Bookman Old Style"/>
          <w:sz w:val="24"/>
          <w:szCs w:val="24"/>
          <w:lang w:val="el-GR"/>
        </w:rPr>
        <w:t>«</w:t>
      </w:r>
      <w:r w:rsidRPr="00AB3A5A">
        <w:rPr>
          <w:rFonts w:ascii="Bookman Old Style" w:hAnsi="Bookman Old Style"/>
          <w:sz w:val="24"/>
          <w:szCs w:val="24"/>
        </w:rPr>
        <w:t>pari</w:t>
      </w:r>
      <w:r w:rsidRPr="00AB3A5A">
        <w:rPr>
          <w:rFonts w:ascii="Bookman Old Style" w:hAnsi="Bookman Old Style"/>
          <w:sz w:val="24"/>
          <w:szCs w:val="24"/>
          <w:lang w:val="el-GR"/>
        </w:rPr>
        <w:t xml:space="preserve"> </w:t>
      </w:r>
      <w:r w:rsidRPr="00AB3A5A">
        <w:rPr>
          <w:rFonts w:ascii="Bookman Old Style" w:hAnsi="Bookman Old Style"/>
          <w:sz w:val="24"/>
          <w:szCs w:val="24"/>
        </w:rPr>
        <w:t>passu</w:t>
      </w:r>
      <w:r w:rsidR="0077368B">
        <w:rPr>
          <w:rFonts w:ascii="Bookman Old Style" w:hAnsi="Bookman Old Style"/>
          <w:sz w:val="24"/>
          <w:szCs w:val="24"/>
          <w:lang w:val="el-GR"/>
        </w:rPr>
        <w:t>»</w:t>
      </w:r>
      <w:r w:rsidRPr="00AB3A5A">
        <w:rPr>
          <w:rFonts w:ascii="Bookman Old Style" w:hAnsi="Bookman Old Style"/>
          <w:sz w:val="24"/>
          <w:szCs w:val="24"/>
          <w:lang w:val="el-GR"/>
        </w:rPr>
        <w:t xml:space="preserve">) εκθέτει, ενδεχομένως, την ΕΚΤ στον κίνδυνο να υποστεί μια περικοπή αποφασισθείσα από τους λοιπούς πιστωτές του οικείου </w:t>
      </w:r>
      <w:r w:rsidR="00FA1CA1">
        <w:rPr>
          <w:rFonts w:ascii="Bookman Old Style" w:hAnsi="Bookman Old Style"/>
          <w:sz w:val="24"/>
          <w:szCs w:val="24"/>
          <w:lang w:val="el-GR"/>
        </w:rPr>
        <w:t>Κ</w:t>
      </w:r>
      <w:r w:rsidRPr="00AB3A5A">
        <w:rPr>
          <w:rFonts w:ascii="Bookman Old Style" w:hAnsi="Bookman Old Style"/>
          <w:sz w:val="24"/>
          <w:szCs w:val="24"/>
          <w:lang w:val="el-GR"/>
        </w:rPr>
        <w:t>ράτους-</w:t>
      </w:r>
      <w:r w:rsidR="00FA1CA1">
        <w:rPr>
          <w:rFonts w:ascii="Bookman Old Style" w:hAnsi="Bookman Old Style"/>
          <w:sz w:val="24"/>
          <w:szCs w:val="24"/>
          <w:lang w:val="el-GR"/>
        </w:rPr>
        <w:t>Μ</w:t>
      </w:r>
      <w:r w:rsidRPr="00AB3A5A">
        <w:rPr>
          <w:rFonts w:ascii="Bookman Old Style" w:hAnsi="Bookman Old Style"/>
          <w:sz w:val="24"/>
          <w:szCs w:val="24"/>
          <w:lang w:val="el-GR"/>
        </w:rPr>
        <w:t xml:space="preserve">έλους, </w:t>
      </w:r>
      <w:r w:rsidR="00CE42E4">
        <w:rPr>
          <w:rFonts w:ascii="Bookman Old Style" w:hAnsi="Bookman Old Style"/>
          <w:sz w:val="24"/>
          <w:szCs w:val="24"/>
          <w:lang w:val="el-GR"/>
        </w:rPr>
        <w:t>προκύπτει</w:t>
      </w:r>
      <w:r w:rsidRPr="00AB3A5A">
        <w:rPr>
          <w:rFonts w:ascii="Bookman Old Style" w:hAnsi="Bookman Old Style"/>
          <w:sz w:val="24"/>
          <w:szCs w:val="24"/>
          <w:lang w:val="el-GR"/>
        </w:rPr>
        <w:t xml:space="preserve"> η διαπίστωση πως πρόκειται για κίνδυνο εγγενή εντός του πεδίου αγοράς ομολόγων στις δευτερογενείς αγορές, κάτι το οποίο έχει επιτραπεί από τους συντάκτες των Συνθηκών, χωρίς να έχει εξαρτηθεί από την αναγνώριση στην ΕΚΤ της ιδιότητας του «προνομιούχου πιστωτή»  (σκ. 126).</w:t>
      </w:r>
    </w:p>
    <w:p w:rsidR="00AB3A5A" w:rsidRPr="00AB3A5A" w:rsidRDefault="00922FA0" w:rsidP="00303AFA">
      <w:pPr>
        <w:pStyle w:val="1"/>
        <w:spacing w:before="240" w:after="240" w:line="360" w:lineRule="auto"/>
        <w:ind w:left="567" w:hanging="283"/>
        <w:jc w:val="both"/>
        <w:rPr>
          <w:rFonts w:ascii="Bookman Old Style" w:hAnsi="Bookman Old Style"/>
          <w:b/>
          <w:sz w:val="24"/>
          <w:szCs w:val="24"/>
          <w:lang w:val="el-GR"/>
        </w:rPr>
      </w:pPr>
      <w:r>
        <w:rPr>
          <w:rFonts w:ascii="Bookman Old Style" w:hAnsi="Bookman Old Style"/>
          <w:b/>
          <w:sz w:val="24"/>
          <w:szCs w:val="24"/>
          <w:lang w:val="el-GR"/>
        </w:rPr>
        <w:lastRenderedPageBreak/>
        <w:t xml:space="preserve">Γ. </w:t>
      </w:r>
      <w:r w:rsidR="00AB3A5A" w:rsidRPr="00AB3A5A">
        <w:rPr>
          <w:rFonts w:ascii="Bookman Old Style" w:hAnsi="Bookman Old Style"/>
          <w:b/>
          <w:sz w:val="24"/>
          <w:szCs w:val="24"/>
          <w:lang w:val="el-GR"/>
        </w:rPr>
        <w:t xml:space="preserve">Η οριστική απόφαση του </w:t>
      </w:r>
      <w:r>
        <w:rPr>
          <w:rFonts w:ascii="Bookman Old Style" w:hAnsi="Bookman Old Style"/>
          <w:b/>
          <w:sz w:val="24"/>
          <w:szCs w:val="24"/>
          <w:lang w:val="el-GR"/>
        </w:rPr>
        <w:t>Ομοσπονδιακού Συνταγματικού Δικαστηρίου της Γερμανίας</w:t>
      </w:r>
      <w:r w:rsidR="00AB3A5A" w:rsidRPr="00AB3A5A">
        <w:rPr>
          <w:rFonts w:ascii="Bookman Old Style" w:hAnsi="Bookman Old Style"/>
          <w:b/>
          <w:sz w:val="24"/>
          <w:szCs w:val="24"/>
          <w:lang w:val="el-GR"/>
        </w:rPr>
        <w:t xml:space="preserve"> της 21.6.2016: Όροι και προϋποθέσεις </w:t>
      </w:r>
      <w:r w:rsidR="00FA1CA1">
        <w:rPr>
          <w:rFonts w:ascii="Bookman Old Style" w:hAnsi="Bookman Old Style"/>
          <w:b/>
          <w:sz w:val="24"/>
          <w:szCs w:val="24"/>
          <w:lang w:val="el-GR"/>
        </w:rPr>
        <w:t xml:space="preserve">της </w:t>
      </w:r>
      <w:r w:rsidR="00AB3A5A" w:rsidRPr="00AB3A5A">
        <w:rPr>
          <w:rFonts w:ascii="Bookman Old Style" w:hAnsi="Bookman Old Style"/>
          <w:b/>
          <w:sz w:val="24"/>
          <w:szCs w:val="24"/>
          <w:lang w:val="el-GR"/>
        </w:rPr>
        <w:t xml:space="preserve">συνταγματικής νομιμότητας του προγράμματος </w:t>
      </w:r>
      <w:r w:rsidR="00FA1CA1">
        <w:rPr>
          <w:rFonts w:ascii="Bookman Old Style" w:hAnsi="Bookman Old Style"/>
          <w:b/>
          <w:sz w:val="24"/>
          <w:szCs w:val="24"/>
          <w:lang w:val="el-GR"/>
        </w:rPr>
        <w:t>«</w:t>
      </w:r>
      <w:r w:rsidR="00AB3A5A" w:rsidRPr="00AB3A5A">
        <w:rPr>
          <w:rFonts w:ascii="Bookman Old Style" w:hAnsi="Bookman Old Style"/>
          <w:b/>
          <w:sz w:val="24"/>
          <w:szCs w:val="24"/>
          <w:lang w:val="el-GR"/>
        </w:rPr>
        <w:t>ΟΜΤ</w:t>
      </w:r>
      <w:r w:rsidR="00FA1CA1">
        <w:rPr>
          <w:rFonts w:ascii="Bookman Old Style" w:hAnsi="Bookman Old Style"/>
          <w:b/>
          <w:sz w:val="24"/>
          <w:szCs w:val="24"/>
          <w:lang w:val="el-GR"/>
        </w:rPr>
        <w:t>»</w:t>
      </w:r>
      <w:r w:rsidR="00695D4B">
        <w:rPr>
          <w:rFonts w:ascii="Bookman Old Style" w:hAnsi="Bookman Old Style"/>
          <w:b/>
          <w:sz w:val="24"/>
          <w:szCs w:val="24"/>
          <w:lang w:val="el-GR"/>
        </w:rPr>
        <w:t>.</w:t>
      </w:r>
    </w:p>
    <w:p w:rsidR="00AB3A5A" w:rsidRPr="00AB3A5A" w:rsidRDefault="00AB3A5A" w:rsidP="00303AFA">
      <w:pPr>
        <w:spacing w:before="240" w:after="240" w:line="360" w:lineRule="auto"/>
        <w:ind w:left="567"/>
        <w:jc w:val="both"/>
        <w:rPr>
          <w:rFonts w:ascii="Bookman Old Style" w:hAnsi="Bookman Old Style"/>
          <w:b/>
          <w:sz w:val="24"/>
          <w:szCs w:val="24"/>
        </w:rPr>
      </w:pPr>
      <w:r w:rsidRPr="00AB3A5A">
        <w:rPr>
          <w:rFonts w:ascii="Bookman Old Style" w:hAnsi="Bookman Old Style"/>
          <w:sz w:val="24"/>
          <w:szCs w:val="24"/>
        </w:rPr>
        <w:t>Με την από 21</w:t>
      </w:r>
      <w:r w:rsidRPr="00AB3A5A">
        <w:rPr>
          <w:rFonts w:ascii="Bookman Old Style" w:hAnsi="Bookman Old Style"/>
          <w:sz w:val="24"/>
          <w:szCs w:val="24"/>
          <w:vertAlign w:val="superscript"/>
        </w:rPr>
        <w:t>η</w:t>
      </w:r>
      <w:r w:rsidRPr="00AB3A5A">
        <w:rPr>
          <w:rFonts w:ascii="Bookman Old Style" w:hAnsi="Bookman Old Style"/>
          <w:sz w:val="24"/>
          <w:szCs w:val="24"/>
        </w:rPr>
        <w:t xml:space="preserve"> Ιουνίου 2016 οριστική απόφασή του</w:t>
      </w:r>
      <w:r w:rsidR="00FA1CA1">
        <w:rPr>
          <w:rFonts w:ascii="Bookman Old Style" w:hAnsi="Bookman Old Style"/>
          <w:sz w:val="24"/>
          <w:szCs w:val="24"/>
        </w:rPr>
        <w:t>,</w:t>
      </w:r>
      <w:r w:rsidRPr="00AB3A5A">
        <w:rPr>
          <w:rFonts w:ascii="Bookman Old Style" w:hAnsi="Bookman Old Style"/>
          <w:sz w:val="24"/>
          <w:szCs w:val="24"/>
        </w:rPr>
        <w:t xml:space="preserve"> το </w:t>
      </w:r>
      <w:r w:rsidR="00695D4B">
        <w:rPr>
          <w:rFonts w:ascii="Bookman Old Style" w:hAnsi="Bookman Old Style"/>
          <w:sz w:val="24"/>
          <w:szCs w:val="24"/>
        </w:rPr>
        <w:t xml:space="preserve">Ομοσπονδιακό Συνταγματικό Δικαστήριο της Γερμανίας </w:t>
      </w:r>
      <w:r w:rsidRPr="00AB3A5A">
        <w:rPr>
          <w:rFonts w:ascii="Bookman Old Style" w:hAnsi="Bookman Old Style"/>
          <w:sz w:val="24"/>
          <w:szCs w:val="24"/>
        </w:rPr>
        <w:t xml:space="preserve">δέχθηκε ότι το πρόγραμμα </w:t>
      </w:r>
      <w:r w:rsidR="00FA1CA1">
        <w:rPr>
          <w:rFonts w:ascii="Bookman Old Style" w:hAnsi="Bookman Old Style"/>
          <w:sz w:val="24"/>
          <w:szCs w:val="24"/>
        </w:rPr>
        <w:t>«</w:t>
      </w:r>
      <w:r w:rsidRPr="00AB3A5A">
        <w:rPr>
          <w:rFonts w:ascii="Bookman Old Style" w:hAnsi="Bookman Old Style"/>
          <w:sz w:val="24"/>
          <w:szCs w:val="24"/>
        </w:rPr>
        <w:t>ΟΜΤ</w:t>
      </w:r>
      <w:r w:rsidR="00FA1CA1">
        <w:rPr>
          <w:rFonts w:ascii="Bookman Old Style" w:hAnsi="Bookman Old Style"/>
          <w:sz w:val="24"/>
          <w:szCs w:val="24"/>
        </w:rPr>
        <w:t>»</w:t>
      </w:r>
      <w:r w:rsidRPr="00AB3A5A">
        <w:rPr>
          <w:rFonts w:ascii="Bookman Old Style" w:hAnsi="Bookman Old Style"/>
          <w:sz w:val="24"/>
          <w:szCs w:val="24"/>
        </w:rPr>
        <w:t xml:space="preserve"> της ΕΚΤ είναι συνταγματικώς συμβατό, υπό την προϋπόθεση της αυστηρής τήρησης των όρων που τέθηκαν από την απόφαση του ΔΕΕ της 16</w:t>
      </w:r>
      <w:r w:rsidRPr="00AB3A5A">
        <w:rPr>
          <w:rFonts w:ascii="Bookman Old Style" w:hAnsi="Bookman Old Style"/>
          <w:sz w:val="24"/>
          <w:szCs w:val="24"/>
          <w:vertAlign w:val="superscript"/>
        </w:rPr>
        <w:t>ης</w:t>
      </w:r>
      <w:r w:rsidRPr="00AB3A5A">
        <w:rPr>
          <w:rFonts w:ascii="Bookman Old Style" w:hAnsi="Bookman Old Style"/>
          <w:sz w:val="24"/>
          <w:szCs w:val="24"/>
        </w:rPr>
        <w:t xml:space="preserve"> Ιουνίου 2015</w:t>
      </w:r>
      <w:r w:rsidR="00FA1CA1">
        <w:rPr>
          <w:rFonts w:ascii="Bookman Old Style" w:hAnsi="Bookman Old Style"/>
          <w:sz w:val="24"/>
          <w:szCs w:val="24"/>
        </w:rPr>
        <w:t>,</w:t>
      </w:r>
      <w:r w:rsidRPr="00AB3A5A">
        <w:rPr>
          <w:rFonts w:ascii="Bookman Old Style" w:hAnsi="Bookman Old Style"/>
          <w:sz w:val="24"/>
          <w:szCs w:val="24"/>
        </w:rPr>
        <w:t xml:space="preserve"> επί του προδικαστικού ερωτήματος. Σε συνέχεια της, ήδη διατυπωθείσας από το </w:t>
      </w:r>
      <w:r w:rsidR="00695D4B">
        <w:rPr>
          <w:rFonts w:ascii="Bookman Old Style" w:hAnsi="Bookman Old Style"/>
          <w:sz w:val="24"/>
          <w:szCs w:val="24"/>
        </w:rPr>
        <w:t>Ομοσπονδιακό Συνταγματικό Δικαστήριο της Γερμανίας</w:t>
      </w:r>
      <w:r w:rsidRPr="00AB3A5A">
        <w:rPr>
          <w:rFonts w:ascii="Bookman Old Style" w:hAnsi="Bookman Old Style"/>
          <w:sz w:val="24"/>
          <w:szCs w:val="24"/>
        </w:rPr>
        <w:t xml:space="preserve"> κατά την υποβολή του προδικαστικού ερωτήματος, δυνατότητας μιας σύμφωνης με το </w:t>
      </w:r>
      <w:r w:rsidR="00FA1CA1">
        <w:rPr>
          <w:rFonts w:ascii="Bookman Old Style" w:hAnsi="Bookman Old Style"/>
          <w:sz w:val="24"/>
          <w:szCs w:val="24"/>
        </w:rPr>
        <w:t>Ε</w:t>
      </w:r>
      <w:r w:rsidRPr="00AB3A5A">
        <w:rPr>
          <w:rFonts w:ascii="Bookman Old Style" w:hAnsi="Bookman Old Style"/>
          <w:sz w:val="24"/>
          <w:szCs w:val="24"/>
        </w:rPr>
        <w:t xml:space="preserve">υρωπαϊκό </w:t>
      </w:r>
      <w:r w:rsidR="00FA1CA1">
        <w:rPr>
          <w:rFonts w:ascii="Bookman Old Style" w:hAnsi="Bookman Old Style"/>
          <w:sz w:val="24"/>
          <w:szCs w:val="24"/>
        </w:rPr>
        <w:t>Δ</w:t>
      </w:r>
      <w:r w:rsidRPr="00AB3A5A">
        <w:rPr>
          <w:rFonts w:ascii="Bookman Old Style" w:hAnsi="Bookman Old Style"/>
          <w:sz w:val="24"/>
          <w:szCs w:val="24"/>
        </w:rPr>
        <w:t xml:space="preserve">ίκαιο ερμηνείας του προγράμματος, κρίθηκε ότι τούτο δεν κείται μεν καταφανώς εκτός των αρμοδιοτήτων της ΕΚΤ και δεν παραβιάζει τις Συνθήκες και την </w:t>
      </w:r>
      <w:r w:rsidR="00FA1CA1">
        <w:rPr>
          <w:rFonts w:ascii="Bookman Old Style" w:hAnsi="Bookman Old Style"/>
          <w:sz w:val="24"/>
          <w:szCs w:val="24"/>
        </w:rPr>
        <w:t>Δ</w:t>
      </w:r>
      <w:r w:rsidRPr="00AB3A5A">
        <w:rPr>
          <w:rFonts w:ascii="Bookman Old Style" w:hAnsi="Bookman Old Style"/>
          <w:sz w:val="24"/>
          <w:szCs w:val="24"/>
        </w:rPr>
        <w:t xml:space="preserve">ημοκρατική </w:t>
      </w:r>
      <w:r w:rsidR="00FA1CA1">
        <w:rPr>
          <w:rFonts w:ascii="Bookman Old Style" w:hAnsi="Bookman Old Style"/>
          <w:sz w:val="24"/>
          <w:szCs w:val="24"/>
        </w:rPr>
        <w:t>Α</w:t>
      </w:r>
      <w:r w:rsidRPr="00AB3A5A">
        <w:rPr>
          <w:rFonts w:ascii="Bookman Old Style" w:hAnsi="Bookman Old Style"/>
          <w:sz w:val="24"/>
          <w:szCs w:val="24"/>
        </w:rPr>
        <w:t>ρχή, υπόκειται όμως, εκτός των ήδη ανακοινωθεισών παραμέτρων, σε περαιτέρω όρους, οι οποίοι είναι νομικώς δεσμευτικοί και περιορίζουν το εύρος του (σκ. 190 επ.). Στο μέτρο δε που τηρούνται οι όροι αυτοί</w:t>
      </w:r>
      <w:r w:rsidR="00CE42E4">
        <w:rPr>
          <w:rFonts w:ascii="Bookman Old Style" w:hAnsi="Bookman Old Style"/>
          <w:sz w:val="24"/>
          <w:szCs w:val="24"/>
        </w:rPr>
        <w:t>,</w:t>
      </w:r>
      <w:r w:rsidRPr="00AB3A5A">
        <w:rPr>
          <w:rFonts w:ascii="Bookman Old Style" w:hAnsi="Bookman Old Style"/>
          <w:sz w:val="24"/>
          <w:szCs w:val="24"/>
        </w:rPr>
        <w:t xml:space="preserve"> δεν προκαλείται καταφανής παραβίαση της απαγόρευσης νομισματικής χρηματοδότησης </w:t>
      </w:r>
      <w:r w:rsidR="00FA1CA1">
        <w:rPr>
          <w:rFonts w:ascii="Bookman Old Style" w:hAnsi="Bookman Old Style"/>
          <w:sz w:val="24"/>
          <w:szCs w:val="24"/>
        </w:rPr>
        <w:t>Κ</w:t>
      </w:r>
      <w:r w:rsidRPr="00AB3A5A">
        <w:rPr>
          <w:rFonts w:ascii="Bookman Old Style" w:hAnsi="Bookman Old Style"/>
          <w:sz w:val="24"/>
          <w:szCs w:val="24"/>
        </w:rPr>
        <w:t>ρατών από την ΕΚΤ. Ειδικότερα:</w:t>
      </w:r>
    </w:p>
    <w:p w:rsidR="00FA1CA1" w:rsidRDefault="00695D4B" w:rsidP="00303AF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ind w:left="851" w:hanging="284"/>
        <w:jc w:val="both"/>
        <w:rPr>
          <w:rFonts w:ascii="Bookman Old Style" w:hAnsi="Bookman Old Style"/>
          <w:b/>
          <w:sz w:val="24"/>
          <w:szCs w:val="24"/>
        </w:rPr>
      </w:pPr>
      <w:r>
        <w:rPr>
          <w:rFonts w:ascii="Bookman Old Style" w:hAnsi="Bookman Old Style"/>
          <w:b/>
          <w:sz w:val="24"/>
          <w:szCs w:val="24"/>
        </w:rPr>
        <w:t>1</w:t>
      </w:r>
      <w:r w:rsidR="00AB3A5A" w:rsidRPr="00AB3A5A">
        <w:rPr>
          <w:rFonts w:ascii="Bookman Old Style" w:hAnsi="Bookman Old Style"/>
          <w:b/>
          <w:sz w:val="24"/>
          <w:szCs w:val="24"/>
        </w:rPr>
        <w:t xml:space="preserve">. </w:t>
      </w:r>
      <w:r w:rsidR="00FA1CA1">
        <w:rPr>
          <w:rFonts w:ascii="Bookman Old Style" w:hAnsi="Bookman Old Style"/>
          <w:b/>
          <w:sz w:val="24"/>
          <w:szCs w:val="24"/>
        </w:rPr>
        <w:t>Μια βασική διάκριση.</w:t>
      </w:r>
    </w:p>
    <w:p w:rsidR="00695D4B" w:rsidRDefault="00FA1CA1" w:rsidP="00303AF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ind w:left="851" w:hanging="284"/>
        <w:jc w:val="both"/>
        <w:rPr>
          <w:rFonts w:ascii="Bookman Old Style" w:hAnsi="Bookman Old Style"/>
          <w:sz w:val="24"/>
          <w:szCs w:val="24"/>
        </w:rPr>
      </w:pPr>
      <w:r>
        <w:rPr>
          <w:rFonts w:ascii="Bookman Old Style" w:hAnsi="Bookman Old Style"/>
          <w:sz w:val="24"/>
          <w:szCs w:val="24"/>
        </w:rPr>
        <w:tab/>
      </w:r>
      <w:r w:rsidR="00AB3A5A" w:rsidRPr="00AB3A5A">
        <w:rPr>
          <w:rFonts w:ascii="Bookman Old Style" w:hAnsi="Bookman Old Style"/>
          <w:sz w:val="24"/>
          <w:szCs w:val="24"/>
        </w:rPr>
        <w:t>Καταρχ</w:t>
      </w:r>
      <w:r>
        <w:rPr>
          <w:rFonts w:ascii="Bookman Old Style" w:hAnsi="Bookman Old Style"/>
          <w:sz w:val="24"/>
          <w:szCs w:val="24"/>
        </w:rPr>
        <w:t>άς</w:t>
      </w:r>
      <w:r w:rsidR="0077368B">
        <w:rPr>
          <w:rFonts w:ascii="Bookman Old Style" w:hAnsi="Bookman Old Style"/>
          <w:sz w:val="24"/>
          <w:szCs w:val="24"/>
        </w:rPr>
        <w:t>,</w:t>
      </w:r>
      <w:r w:rsidR="00AB3A5A" w:rsidRPr="00AB3A5A">
        <w:rPr>
          <w:rFonts w:ascii="Bookman Old Style" w:hAnsi="Bookman Old Style"/>
          <w:sz w:val="24"/>
          <w:szCs w:val="24"/>
        </w:rPr>
        <w:t xml:space="preserve"> κρίθηκε ότι το ΔΕΕ προέβη σε διάκριση μεταξύ της δημόσιας ανακοίνωσης του προγράμματος της 6</w:t>
      </w:r>
      <w:r w:rsidR="00AB3A5A" w:rsidRPr="00AB3A5A">
        <w:rPr>
          <w:rFonts w:ascii="Bookman Old Style" w:hAnsi="Bookman Old Style"/>
          <w:sz w:val="24"/>
          <w:szCs w:val="24"/>
          <w:vertAlign w:val="superscript"/>
        </w:rPr>
        <w:t>ης</w:t>
      </w:r>
      <w:r w:rsidR="00AB3A5A" w:rsidRPr="00AB3A5A">
        <w:rPr>
          <w:rFonts w:ascii="Bookman Old Style" w:hAnsi="Bookman Old Style"/>
          <w:sz w:val="24"/>
          <w:szCs w:val="24"/>
        </w:rPr>
        <w:t xml:space="preserve"> Σεπτεμβρίου 2012 και της μελλοντικής εφαρμογής του δια της πραγματικής διενέργειας αγορών κρατικών ομολόγων, θέτοντας αυστηρότερους όρους για την εφαρμογή του προγράμματος σε σχέση με την δημόσια ανακοίνωσή του. Και τούτο, διότι η πλήρης δημοσιοποίηση των τεχνικών όρων του προγράμματος κατά την ανακοίνωσή του θα μπορούσε να </w:t>
      </w:r>
      <w:r w:rsidR="00CE42E4">
        <w:rPr>
          <w:rFonts w:ascii="Bookman Old Style" w:hAnsi="Bookman Old Style"/>
          <w:sz w:val="24"/>
          <w:szCs w:val="24"/>
        </w:rPr>
        <w:t>περιορίσει</w:t>
      </w:r>
      <w:r w:rsidR="00AB3A5A" w:rsidRPr="00AB3A5A">
        <w:rPr>
          <w:rFonts w:ascii="Bookman Old Style" w:hAnsi="Bookman Old Style"/>
          <w:sz w:val="24"/>
          <w:szCs w:val="24"/>
        </w:rPr>
        <w:t xml:space="preserve"> την </w:t>
      </w:r>
      <w:r w:rsidR="00CE42E4">
        <w:rPr>
          <w:rFonts w:ascii="Bookman Old Style" w:hAnsi="Bookman Old Style"/>
          <w:sz w:val="24"/>
          <w:szCs w:val="24"/>
        </w:rPr>
        <w:t>θετική</w:t>
      </w:r>
      <w:r w:rsidR="00AB3A5A" w:rsidRPr="00AB3A5A">
        <w:rPr>
          <w:rFonts w:ascii="Bookman Old Style" w:hAnsi="Bookman Old Style"/>
          <w:sz w:val="24"/>
          <w:szCs w:val="24"/>
        </w:rPr>
        <w:t xml:space="preserve"> επίδραση</w:t>
      </w:r>
      <w:r>
        <w:rPr>
          <w:rFonts w:ascii="Bookman Old Style" w:hAnsi="Bookman Old Style"/>
          <w:sz w:val="24"/>
          <w:szCs w:val="24"/>
        </w:rPr>
        <w:t>,</w:t>
      </w:r>
      <w:r w:rsidR="00AB3A5A" w:rsidRPr="00AB3A5A">
        <w:rPr>
          <w:rFonts w:ascii="Bookman Old Style" w:hAnsi="Bookman Old Style"/>
          <w:sz w:val="24"/>
          <w:szCs w:val="24"/>
        </w:rPr>
        <w:t xml:space="preserve"> που είχε η ανακοίνωση του προγράμματος καθεαυτή στις αγορές </w:t>
      </w:r>
      <w:r w:rsidR="00AB3A5A" w:rsidRPr="00AB3A5A">
        <w:rPr>
          <w:rFonts w:ascii="Bookman Old Style" w:hAnsi="Bookman Old Style"/>
          <w:sz w:val="24"/>
          <w:szCs w:val="24"/>
        </w:rPr>
        <w:lastRenderedPageBreak/>
        <w:t xml:space="preserve">και ως εκ τούτου την </w:t>
      </w:r>
      <w:r w:rsidR="00CE42E4">
        <w:rPr>
          <w:rFonts w:ascii="Bookman Old Style" w:hAnsi="Bookman Old Style"/>
          <w:sz w:val="24"/>
          <w:szCs w:val="24"/>
        </w:rPr>
        <w:t xml:space="preserve">τελική </w:t>
      </w:r>
      <w:r w:rsidR="00AB3A5A" w:rsidRPr="00AB3A5A">
        <w:rPr>
          <w:rFonts w:ascii="Bookman Old Style" w:hAnsi="Bookman Old Style"/>
          <w:sz w:val="24"/>
          <w:szCs w:val="24"/>
        </w:rPr>
        <w:t xml:space="preserve">αποτελεσματικότητά της. Οι αυστηρότεροι αυτοί όροι </w:t>
      </w:r>
      <w:r>
        <w:rPr>
          <w:rFonts w:ascii="Bookman Old Style" w:hAnsi="Bookman Old Style"/>
          <w:sz w:val="24"/>
          <w:szCs w:val="24"/>
        </w:rPr>
        <w:t>απαιτούνταν</w:t>
      </w:r>
      <w:r w:rsidR="00AB3A5A" w:rsidRPr="00AB3A5A">
        <w:rPr>
          <w:rFonts w:ascii="Bookman Old Style" w:hAnsi="Bookman Old Style"/>
          <w:sz w:val="24"/>
          <w:szCs w:val="24"/>
        </w:rPr>
        <w:t xml:space="preserve"> για την τήρηση τόσο της ισχύουσας</w:t>
      </w:r>
      <w:r w:rsidR="00CE42E4">
        <w:rPr>
          <w:rFonts w:ascii="Bookman Old Style" w:hAnsi="Bookman Old Style"/>
          <w:sz w:val="24"/>
          <w:szCs w:val="24"/>
        </w:rPr>
        <w:t>,</w:t>
      </w:r>
      <w:r w:rsidR="00AB3A5A" w:rsidRPr="00AB3A5A">
        <w:rPr>
          <w:rFonts w:ascii="Bookman Old Style" w:hAnsi="Bookman Old Style"/>
          <w:sz w:val="24"/>
          <w:szCs w:val="24"/>
        </w:rPr>
        <w:t xml:space="preserve"> κατά την άσκηση αρμοδιοτήτων των οργάνων της Ευρωπαϊκής Ένωσης</w:t>
      </w:r>
      <w:r w:rsidR="00CE42E4">
        <w:rPr>
          <w:rFonts w:ascii="Bookman Old Style" w:hAnsi="Bookman Old Style"/>
          <w:sz w:val="24"/>
          <w:szCs w:val="24"/>
        </w:rPr>
        <w:t>,</w:t>
      </w:r>
      <w:r w:rsidR="00AB3A5A" w:rsidRPr="00AB3A5A">
        <w:rPr>
          <w:rFonts w:ascii="Bookman Old Style" w:hAnsi="Bookman Old Style"/>
          <w:sz w:val="24"/>
          <w:szCs w:val="24"/>
        </w:rPr>
        <w:t xml:space="preserve"> αρχής της αναλογικότητας όσο και της υποχρέωσης επαρκούς αιτιολόγησης των πράξεων των οργάνων τούτων, δια της οποίας διασφαλίζεται η πληρότητα και αποτελεσματικότητα του δικαστικού τους ελέγχου (σκ. 191-192).</w:t>
      </w:r>
    </w:p>
    <w:p w:rsidR="00FA1CA1" w:rsidRPr="00FA1CA1" w:rsidRDefault="00695D4B" w:rsidP="00303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ind w:left="851" w:hanging="284"/>
        <w:jc w:val="both"/>
        <w:rPr>
          <w:rFonts w:ascii="Bookman Old Style" w:hAnsi="Bookman Old Style"/>
          <w:b/>
          <w:sz w:val="24"/>
          <w:szCs w:val="24"/>
        </w:rPr>
      </w:pPr>
      <w:r>
        <w:rPr>
          <w:rFonts w:ascii="Bookman Old Style" w:hAnsi="Bookman Old Style"/>
          <w:b/>
          <w:sz w:val="24"/>
          <w:szCs w:val="24"/>
        </w:rPr>
        <w:t>2</w:t>
      </w:r>
      <w:r w:rsidR="00AB3A5A" w:rsidRPr="00AB3A5A">
        <w:rPr>
          <w:rFonts w:ascii="Bookman Old Style" w:hAnsi="Bookman Old Style"/>
          <w:b/>
          <w:sz w:val="24"/>
          <w:szCs w:val="24"/>
        </w:rPr>
        <w:t>.</w:t>
      </w:r>
      <w:r w:rsidR="00AB3A5A" w:rsidRPr="00AB3A5A">
        <w:rPr>
          <w:rFonts w:ascii="Bookman Old Style" w:hAnsi="Bookman Old Style"/>
          <w:sz w:val="24"/>
          <w:szCs w:val="24"/>
        </w:rPr>
        <w:t xml:space="preserve"> </w:t>
      </w:r>
      <w:r w:rsidR="00FA1CA1">
        <w:rPr>
          <w:rFonts w:ascii="Bookman Old Style" w:hAnsi="Bookman Old Style"/>
          <w:b/>
          <w:sz w:val="24"/>
          <w:szCs w:val="24"/>
        </w:rPr>
        <w:t>Ο περιορισμός του προγράμματος «ΟΜΤ».</w:t>
      </w:r>
    </w:p>
    <w:p w:rsidR="00695D4B" w:rsidRDefault="00FA1CA1" w:rsidP="00303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ind w:left="851" w:hanging="284"/>
        <w:jc w:val="both"/>
        <w:rPr>
          <w:rFonts w:ascii="Bookman Old Style" w:hAnsi="Bookman Old Style"/>
          <w:sz w:val="24"/>
          <w:szCs w:val="24"/>
        </w:rPr>
      </w:pPr>
      <w:r>
        <w:rPr>
          <w:rFonts w:ascii="Bookman Old Style" w:hAnsi="Bookman Old Style"/>
          <w:sz w:val="24"/>
          <w:szCs w:val="24"/>
        </w:rPr>
        <w:tab/>
      </w:r>
      <w:r w:rsidR="00AB3A5A" w:rsidRPr="00AB3A5A">
        <w:rPr>
          <w:rFonts w:ascii="Bookman Old Style" w:hAnsi="Bookman Old Style"/>
          <w:sz w:val="24"/>
          <w:szCs w:val="24"/>
        </w:rPr>
        <w:t xml:space="preserve">Ως προς τον περιορισμό του εύρους του προγράμματος </w:t>
      </w:r>
      <w:r>
        <w:rPr>
          <w:rFonts w:ascii="Bookman Old Style" w:hAnsi="Bookman Old Style"/>
          <w:sz w:val="24"/>
          <w:szCs w:val="24"/>
        </w:rPr>
        <w:t>«</w:t>
      </w:r>
      <w:r w:rsidR="00AB3A5A" w:rsidRPr="00AB3A5A">
        <w:rPr>
          <w:rFonts w:ascii="Bookman Old Style" w:hAnsi="Bookman Old Style"/>
          <w:sz w:val="24"/>
          <w:szCs w:val="24"/>
        </w:rPr>
        <w:t>ΟΜΤ</w:t>
      </w:r>
      <w:r>
        <w:rPr>
          <w:rFonts w:ascii="Bookman Old Style" w:hAnsi="Bookman Old Style"/>
          <w:sz w:val="24"/>
          <w:szCs w:val="24"/>
        </w:rPr>
        <w:t>»</w:t>
      </w:r>
      <w:r w:rsidR="00AB3A5A" w:rsidRPr="00AB3A5A">
        <w:rPr>
          <w:rFonts w:ascii="Bookman Old Style" w:hAnsi="Bookman Old Style"/>
          <w:sz w:val="24"/>
          <w:szCs w:val="24"/>
        </w:rPr>
        <w:t xml:space="preserve">, κρίθηκε ότι δια της αγοράς ομολόγων δεν επιτρέπεται να καταστρατηγείται η εκ μέρους των </w:t>
      </w:r>
      <w:r w:rsidR="00695D4B">
        <w:rPr>
          <w:rFonts w:ascii="Bookman Old Style" w:hAnsi="Bookman Old Style"/>
          <w:sz w:val="24"/>
          <w:szCs w:val="24"/>
        </w:rPr>
        <w:t>Κ</w:t>
      </w:r>
      <w:r w:rsidR="00AB3A5A" w:rsidRPr="00AB3A5A">
        <w:rPr>
          <w:rFonts w:ascii="Bookman Old Style" w:hAnsi="Bookman Old Style"/>
          <w:sz w:val="24"/>
          <w:szCs w:val="24"/>
        </w:rPr>
        <w:t>ρατών-</w:t>
      </w:r>
      <w:r w:rsidR="00695D4B">
        <w:rPr>
          <w:rFonts w:ascii="Bookman Old Style" w:hAnsi="Bookman Old Style"/>
          <w:sz w:val="24"/>
          <w:szCs w:val="24"/>
        </w:rPr>
        <w:t>Μ</w:t>
      </w:r>
      <w:r w:rsidR="00AB3A5A" w:rsidRPr="00AB3A5A">
        <w:rPr>
          <w:rFonts w:ascii="Bookman Old Style" w:hAnsi="Bookman Old Style"/>
          <w:sz w:val="24"/>
          <w:szCs w:val="24"/>
        </w:rPr>
        <w:t xml:space="preserve">ελών αυστηρή τήρηση των όρων παροχής χρηματοοικονομικής στήριξης από τον ΕΜΣ και το </w:t>
      </w:r>
      <w:r>
        <w:rPr>
          <w:rFonts w:ascii="Bookman Old Style" w:hAnsi="Bookman Old Style"/>
          <w:sz w:val="24"/>
          <w:szCs w:val="24"/>
        </w:rPr>
        <w:t>ΕΤΧΣ</w:t>
      </w:r>
      <w:r w:rsidR="00AB3A5A" w:rsidRPr="00AB3A5A">
        <w:rPr>
          <w:rFonts w:ascii="Bookman Old Style" w:hAnsi="Bookman Old Style"/>
          <w:sz w:val="24"/>
          <w:szCs w:val="24"/>
        </w:rPr>
        <w:t xml:space="preserve">  (</w:t>
      </w:r>
      <w:r w:rsidR="0077368B">
        <w:rPr>
          <w:rFonts w:ascii="Bookman Old Style" w:hAnsi="Bookman Old Style"/>
          <w:sz w:val="24"/>
          <w:szCs w:val="24"/>
        </w:rPr>
        <w:t>«</w:t>
      </w:r>
      <w:r w:rsidR="00AB3A5A" w:rsidRPr="00AB3A5A">
        <w:rPr>
          <w:rFonts w:ascii="Bookman Old Style" w:hAnsi="Bookman Old Style"/>
          <w:sz w:val="24"/>
          <w:szCs w:val="24"/>
        </w:rPr>
        <w:t>παράμετρος αιρεσιμότητας</w:t>
      </w:r>
      <w:r w:rsidR="0077368B">
        <w:rPr>
          <w:rFonts w:ascii="Bookman Old Style" w:hAnsi="Bookman Old Style"/>
          <w:sz w:val="24"/>
          <w:szCs w:val="24"/>
        </w:rPr>
        <w:t>»</w:t>
      </w:r>
      <w:r w:rsidR="00AB3A5A" w:rsidRPr="00AB3A5A">
        <w:rPr>
          <w:rFonts w:ascii="Bookman Old Style" w:hAnsi="Bookman Old Style"/>
          <w:sz w:val="24"/>
          <w:szCs w:val="24"/>
        </w:rPr>
        <w:t xml:space="preserve">), ώστε να διασφαλίζεται πως το πρόγραμμα </w:t>
      </w:r>
      <w:r>
        <w:rPr>
          <w:rFonts w:ascii="Bookman Old Style" w:hAnsi="Bookman Old Style"/>
          <w:sz w:val="24"/>
          <w:szCs w:val="24"/>
        </w:rPr>
        <w:t>«</w:t>
      </w:r>
      <w:r w:rsidR="00AB3A5A" w:rsidRPr="00AB3A5A">
        <w:rPr>
          <w:rFonts w:ascii="Bookman Old Style" w:hAnsi="Bookman Old Style"/>
          <w:sz w:val="24"/>
          <w:szCs w:val="24"/>
        </w:rPr>
        <w:t>ΟΜΤ</w:t>
      </w:r>
      <w:r>
        <w:rPr>
          <w:rFonts w:ascii="Bookman Old Style" w:hAnsi="Bookman Old Style"/>
          <w:sz w:val="24"/>
          <w:szCs w:val="24"/>
        </w:rPr>
        <w:t>»</w:t>
      </w:r>
      <w:r w:rsidR="00AB3A5A" w:rsidRPr="00AB3A5A">
        <w:rPr>
          <w:rFonts w:ascii="Bookman Old Style" w:hAnsi="Bookman Old Style"/>
          <w:sz w:val="24"/>
          <w:szCs w:val="24"/>
        </w:rPr>
        <w:t xml:space="preserve"> λειτουργεί μόνον ως υποστήριξη της οικονομικής πολιτικής στην Ευρωπαϊκή Ένωση και δεν την υποκαθιστά. Συνακόλουθα, ο πλήρης δικαστικός έλεγχος της αιτιολογίας των πράξεων εφαρμογής του προγράμματος </w:t>
      </w:r>
      <w:r>
        <w:rPr>
          <w:rFonts w:ascii="Bookman Old Style" w:hAnsi="Bookman Old Style"/>
          <w:sz w:val="24"/>
          <w:szCs w:val="24"/>
        </w:rPr>
        <w:t>«</w:t>
      </w:r>
      <w:r w:rsidR="00AB3A5A" w:rsidRPr="00AB3A5A">
        <w:rPr>
          <w:rFonts w:ascii="Bookman Old Style" w:hAnsi="Bookman Old Style"/>
          <w:sz w:val="24"/>
          <w:szCs w:val="24"/>
        </w:rPr>
        <w:t>ΟΜΤ</w:t>
      </w:r>
      <w:r>
        <w:rPr>
          <w:rFonts w:ascii="Bookman Old Style" w:hAnsi="Bookman Old Style"/>
          <w:sz w:val="24"/>
          <w:szCs w:val="24"/>
        </w:rPr>
        <w:t>»</w:t>
      </w:r>
      <w:r w:rsidR="00AB3A5A" w:rsidRPr="00AB3A5A">
        <w:rPr>
          <w:rFonts w:ascii="Bookman Old Style" w:hAnsi="Bookman Old Style"/>
          <w:sz w:val="24"/>
          <w:szCs w:val="24"/>
        </w:rPr>
        <w:t xml:space="preserve"> εγγυάται</w:t>
      </w:r>
      <w:r>
        <w:rPr>
          <w:rFonts w:ascii="Bookman Old Style" w:hAnsi="Bookman Old Style"/>
          <w:sz w:val="24"/>
          <w:szCs w:val="24"/>
        </w:rPr>
        <w:t>,</w:t>
      </w:r>
      <w:r w:rsidR="00AB3A5A" w:rsidRPr="00AB3A5A">
        <w:rPr>
          <w:rFonts w:ascii="Bookman Old Style" w:hAnsi="Bookman Old Style"/>
          <w:sz w:val="24"/>
          <w:szCs w:val="24"/>
        </w:rPr>
        <w:t xml:space="preserve"> ότι ο </w:t>
      </w:r>
      <w:r w:rsidR="00AB3A5A" w:rsidRPr="00AB3A5A">
        <w:rPr>
          <w:rFonts w:ascii="Bookman Old Style" w:hAnsi="Bookman Old Style"/>
          <w:i/>
          <w:sz w:val="24"/>
          <w:szCs w:val="24"/>
        </w:rPr>
        <w:t>σκοπός</w:t>
      </w:r>
      <w:r w:rsidR="00AB3A5A" w:rsidRPr="00AB3A5A">
        <w:rPr>
          <w:rFonts w:ascii="Bookman Old Style" w:hAnsi="Bookman Old Style"/>
          <w:sz w:val="24"/>
          <w:szCs w:val="24"/>
        </w:rPr>
        <w:t xml:space="preserve"> του θα είναι αποκλειστικώς και μόνον η διατήρηση της σταθερότητας των τιμών μέσω της προστασίας του μηχανισμού μετάδοσης και του ενιαίου χαρακτήρα της νομισματικής πολιτικής, πρέπει δε το πρόγραμ</w:t>
      </w:r>
      <w:r w:rsidR="00CE42E4">
        <w:rPr>
          <w:rFonts w:ascii="Bookman Old Style" w:hAnsi="Bookman Old Style"/>
          <w:sz w:val="24"/>
          <w:szCs w:val="24"/>
        </w:rPr>
        <w:t>μ</w:t>
      </w:r>
      <w:r w:rsidR="00AB3A5A" w:rsidRPr="00AB3A5A">
        <w:rPr>
          <w:rFonts w:ascii="Bookman Old Style" w:hAnsi="Bookman Old Style"/>
          <w:sz w:val="24"/>
          <w:szCs w:val="24"/>
        </w:rPr>
        <w:t xml:space="preserve">α να περιορίζεται αυστηρά στον </w:t>
      </w:r>
      <w:r w:rsidR="00CE42E4">
        <w:rPr>
          <w:rFonts w:ascii="Bookman Old Style" w:hAnsi="Bookman Old Style"/>
          <w:sz w:val="24"/>
          <w:szCs w:val="24"/>
        </w:rPr>
        <w:t>συγκεκριμένο</w:t>
      </w:r>
      <w:r w:rsidR="00CF0652">
        <w:rPr>
          <w:rFonts w:ascii="Bookman Old Style" w:hAnsi="Bookman Old Style"/>
          <w:sz w:val="24"/>
          <w:szCs w:val="24"/>
        </w:rPr>
        <w:t xml:space="preserve"> αυτό</w:t>
      </w:r>
      <w:r w:rsidR="00CE42E4">
        <w:rPr>
          <w:rFonts w:ascii="Bookman Old Style" w:hAnsi="Bookman Old Style"/>
          <w:sz w:val="24"/>
          <w:szCs w:val="24"/>
        </w:rPr>
        <w:t xml:space="preserve"> </w:t>
      </w:r>
      <w:r w:rsidR="00AB3A5A" w:rsidRPr="00AB3A5A">
        <w:rPr>
          <w:rFonts w:ascii="Bookman Old Style" w:hAnsi="Bookman Old Style"/>
          <w:sz w:val="24"/>
          <w:szCs w:val="24"/>
        </w:rPr>
        <w:t xml:space="preserve">στόχο και να τερματίζεται μόλις αυτός εκπληρωθεί (σκ. 193-194). Κεντρικής σημασίας προς τούτο είναι ότι δεν επιτρέπεται ο όγκος της αγοράς ομολόγων να είναι απεριόριστος, όπως εμμέσως είχε διαφανεί κατά την ανακοίνωση του προγράμματος </w:t>
      </w:r>
      <w:r>
        <w:rPr>
          <w:rFonts w:ascii="Bookman Old Style" w:hAnsi="Bookman Old Style"/>
          <w:sz w:val="24"/>
          <w:szCs w:val="24"/>
        </w:rPr>
        <w:t>«</w:t>
      </w:r>
      <w:r w:rsidR="00AB3A5A" w:rsidRPr="00AB3A5A">
        <w:rPr>
          <w:rFonts w:ascii="Bookman Old Style" w:hAnsi="Bookman Old Style"/>
          <w:sz w:val="24"/>
          <w:szCs w:val="24"/>
        </w:rPr>
        <w:t>ΟΜΤ</w:t>
      </w:r>
      <w:r>
        <w:rPr>
          <w:rFonts w:ascii="Bookman Old Style" w:hAnsi="Bookman Old Style"/>
          <w:sz w:val="24"/>
          <w:szCs w:val="24"/>
        </w:rPr>
        <w:t>»</w:t>
      </w:r>
      <w:r w:rsidR="00AB3A5A" w:rsidRPr="00AB3A5A">
        <w:rPr>
          <w:rFonts w:ascii="Bookman Old Style" w:hAnsi="Bookman Old Style"/>
          <w:sz w:val="24"/>
          <w:szCs w:val="24"/>
        </w:rPr>
        <w:t xml:space="preserve"> και των παραμέτρων του</w:t>
      </w:r>
      <w:r>
        <w:rPr>
          <w:rFonts w:ascii="Bookman Old Style" w:hAnsi="Bookman Old Style"/>
          <w:sz w:val="24"/>
          <w:szCs w:val="24"/>
        </w:rPr>
        <w:t xml:space="preserve"> από την ΕΚΤ.</w:t>
      </w:r>
      <w:r w:rsidR="00AB3A5A" w:rsidRPr="00AB3A5A">
        <w:rPr>
          <w:rFonts w:ascii="Bookman Old Style" w:hAnsi="Bookman Old Style"/>
          <w:sz w:val="24"/>
          <w:szCs w:val="24"/>
        </w:rPr>
        <w:t xml:space="preserve"> Μάλιστα, ο όγκος της αγοράς ομολόγων από την ΕΚΤ πρέπει να καθορίζεται δεσμευτικώς εκ των προτέρων και να μην υπερβαίνει το μέτρο</w:t>
      </w:r>
      <w:r>
        <w:rPr>
          <w:rFonts w:ascii="Bookman Old Style" w:hAnsi="Bookman Old Style"/>
          <w:sz w:val="24"/>
          <w:szCs w:val="24"/>
        </w:rPr>
        <w:t>,</w:t>
      </w:r>
      <w:r w:rsidR="00AB3A5A" w:rsidRPr="00AB3A5A">
        <w:rPr>
          <w:rFonts w:ascii="Bookman Old Style" w:hAnsi="Bookman Old Style"/>
          <w:sz w:val="24"/>
          <w:szCs w:val="24"/>
        </w:rPr>
        <w:t xml:space="preserve"> που είναι αναγκαίο για την αποκατάσταση του μηχανισμού μετάδοσης της νομισματικής πολιτικής. Ωστόσο, η απόφαση για την εκτέλεση του προγράμματος και την αγορά ομολόγων δεν πρέπει ν’ ανακοινώνεται, καθώς μια τέτοια </w:t>
      </w:r>
      <w:r w:rsidR="00AB3A5A" w:rsidRPr="00AB3A5A">
        <w:rPr>
          <w:rFonts w:ascii="Bookman Old Style" w:hAnsi="Bookman Old Style"/>
          <w:sz w:val="24"/>
          <w:szCs w:val="24"/>
        </w:rPr>
        <w:lastRenderedPageBreak/>
        <w:t xml:space="preserve">ανακοίνωση θα μπορούσε να οδηγήσει τα </w:t>
      </w:r>
      <w:r>
        <w:rPr>
          <w:rFonts w:ascii="Bookman Old Style" w:hAnsi="Bookman Old Style"/>
          <w:sz w:val="24"/>
          <w:szCs w:val="24"/>
        </w:rPr>
        <w:t>Κ</w:t>
      </w:r>
      <w:r w:rsidR="00AB3A5A" w:rsidRPr="00AB3A5A">
        <w:rPr>
          <w:rFonts w:ascii="Bookman Old Style" w:hAnsi="Bookman Old Style"/>
          <w:sz w:val="24"/>
          <w:szCs w:val="24"/>
        </w:rPr>
        <w:t>ράτη-</w:t>
      </w:r>
      <w:r>
        <w:rPr>
          <w:rFonts w:ascii="Bookman Old Style" w:hAnsi="Bookman Old Style"/>
          <w:sz w:val="24"/>
          <w:szCs w:val="24"/>
        </w:rPr>
        <w:t>Μ</w:t>
      </w:r>
      <w:r w:rsidR="00AB3A5A" w:rsidRPr="00AB3A5A">
        <w:rPr>
          <w:rFonts w:ascii="Bookman Old Style" w:hAnsi="Bookman Old Style"/>
          <w:sz w:val="24"/>
          <w:szCs w:val="24"/>
        </w:rPr>
        <w:t>έλη να εκδίδουν ομόλογα με σκοπό την αγορά τους από την ΕΚΤ. Σε κάθε περίπτωση, το πρόγραμμα πρέπει να είναι χρονικώς και ποσοτικώς περιορισμένο</w:t>
      </w:r>
      <w:r w:rsidR="00AB3A5A" w:rsidRPr="00AB3A5A">
        <w:rPr>
          <w:rFonts w:ascii="Bookman Old Style" w:hAnsi="Bookman Old Style"/>
          <w:i/>
          <w:sz w:val="24"/>
          <w:szCs w:val="24"/>
        </w:rPr>
        <w:t>,</w:t>
      </w:r>
      <w:r w:rsidR="00AB3A5A" w:rsidRPr="00AB3A5A">
        <w:rPr>
          <w:rFonts w:ascii="Bookman Old Style" w:hAnsi="Bookman Old Style"/>
          <w:sz w:val="24"/>
          <w:szCs w:val="24"/>
        </w:rPr>
        <w:t xml:space="preserve"> προκειμένου να διασφαλίζεται ο χαρακτήρας του ως μέσου άσκησης νομισματικής πολιτικής και μόνον (σκ. 195-196).      </w:t>
      </w:r>
    </w:p>
    <w:p w:rsidR="00FA1CA1" w:rsidRPr="00FA1CA1" w:rsidRDefault="00695D4B" w:rsidP="00303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ind w:left="851" w:hanging="284"/>
        <w:jc w:val="both"/>
        <w:rPr>
          <w:rFonts w:ascii="Bookman Old Style" w:hAnsi="Bookman Old Style"/>
          <w:b/>
          <w:sz w:val="24"/>
          <w:szCs w:val="24"/>
        </w:rPr>
      </w:pPr>
      <w:r>
        <w:rPr>
          <w:rFonts w:ascii="Bookman Old Style" w:hAnsi="Bookman Old Style"/>
          <w:b/>
          <w:sz w:val="24"/>
          <w:szCs w:val="24"/>
        </w:rPr>
        <w:t>3</w:t>
      </w:r>
      <w:r w:rsidR="00AB3A5A" w:rsidRPr="00AB3A5A">
        <w:rPr>
          <w:rFonts w:ascii="Bookman Old Style" w:hAnsi="Bookman Old Style"/>
          <w:b/>
          <w:sz w:val="24"/>
          <w:szCs w:val="24"/>
        </w:rPr>
        <w:t>.</w:t>
      </w:r>
      <w:r w:rsidR="00AB3A5A" w:rsidRPr="00AB3A5A">
        <w:rPr>
          <w:rFonts w:ascii="Bookman Old Style" w:hAnsi="Bookman Old Style"/>
          <w:sz w:val="24"/>
          <w:szCs w:val="24"/>
        </w:rPr>
        <w:t xml:space="preserve"> </w:t>
      </w:r>
      <w:r w:rsidR="00FA1CA1">
        <w:rPr>
          <w:rFonts w:ascii="Bookman Old Style" w:hAnsi="Bookman Old Style"/>
          <w:b/>
          <w:sz w:val="24"/>
          <w:szCs w:val="24"/>
        </w:rPr>
        <w:t>Η αρχή της απαγόρευσης της νομισματικής χρηματοδότησης.</w:t>
      </w:r>
    </w:p>
    <w:p w:rsidR="00695D4B" w:rsidRDefault="00FA1CA1" w:rsidP="00303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ind w:left="851" w:hanging="284"/>
        <w:jc w:val="both"/>
        <w:rPr>
          <w:rFonts w:ascii="Bookman Old Style" w:hAnsi="Bookman Old Style"/>
          <w:sz w:val="24"/>
          <w:szCs w:val="24"/>
        </w:rPr>
      </w:pPr>
      <w:r>
        <w:rPr>
          <w:rFonts w:ascii="Bookman Old Style" w:hAnsi="Bookman Old Style"/>
          <w:sz w:val="24"/>
          <w:szCs w:val="24"/>
        </w:rPr>
        <w:tab/>
      </w:r>
      <w:r w:rsidR="00AB3A5A" w:rsidRPr="00AB3A5A">
        <w:rPr>
          <w:rFonts w:ascii="Bookman Old Style" w:hAnsi="Bookman Old Style"/>
          <w:sz w:val="24"/>
          <w:szCs w:val="24"/>
        </w:rPr>
        <w:t>Τέλος, κρίθηκε ότι στο πλαίσιο της ερμηνείας του προγράμματος από το ΔΕΕ δεν προκαλείται καταφανής παραβίαση της απαγόρευσης νομισματικής χρηματοδότησης</w:t>
      </w:r>
      <w:r>
        <w:rPr>
          <w:rFonts w:ascii="Bookman Old Style" w:hAnsi="Bookman Old Style"/>
          <w:sz w:val="24"/>
          <w:szCs w:val="24"/>
        </w:rPr>
        <w:t>,</w:t>
      </w:r>
      <w:r w:rsidR="00AB3A5A" w:rsidRPr="00AB3A5A">
        <w:rPr>
          <w:rFonts w:ascii="Bookman Old Style" w:hAnsi="Bookman Old Style"/>
          <w:sz w:val="24"/>
          <w:szCs w:val="24"/>
        </w:rPr>
        <w:t xml:space="preserve"> κατά τις διατάξεις του άρθρου 123 παρ. 1 </w:t>
      </w:r>
      <w:r>
        <w:rPr>
          <w:rFonts w:ascii="Bookman Old Style" w:hAnsi="Bookman Old Style"/>
          <w:sz w:val="24"/>
          <w:szCs w:val="24"/>
        </w:rPr>
        <w:t xml:space="preserve">της </w:t>
      </w:r>
      <w:r w:rsidR="00AB3A5A" w:rsidRPr="00AB3A5A">
        <w:rPr>
          <w:rFonts w:ascii="Bookman Old Style" w:hAnsi="Bookman Old Style"/>
          <w:sz w:val="24"/>
          <w:szCs w:val="24"/>
        </w:rPr>
        <w:t xml:space="preserve">ΣΛΕΕ. Προϋπόθεση προς τούτο είναι, ωστόσο, να μην δίδεται στα </w:t>
      </w:r>
      <w:r>
        <w:rPr>
          <w:rFonts w:ascii="Bookman Old Style" w:hAnsi="Bookman Old Style"/>
          <w:sz w:val="24"/>
          <w:szCs w:val="24"/>
        </w:rPr>
        <w:t>Κ</w:t>
      </w:r>
      <w:r w:rsidR="00AB3A5A" w:rsidRPr="00AB3A5A">
        <w:rPr>
          <w:rFonts w:ascii="Bookman Old Style" w:hAnsi="Bookman Old Style"/>
          <w:sz w:val="24"/>
          <w:szCs w:val="24"/>
        </w:rPr>
        <w:t>ράτη-</w:t>
      </w:r>
      <w:r>
        <w:rPr>
          <w:rFonts w:ascii="Bookman Old Style" w:hAnsi="Bookman Old Style"/>
          <w:sz w:val="24"/>
          <w:szCs w:val="24"/>
        </w:rPr>
        <w:t>Μ</w:t>
      </w:r>
      <w:r w:rsidR="00AB3A5A" w:rsidRPr="00AB3A5A">
        <w:rPr>
          <w:rFonts w:ascii="Bookman Old Style" w:hAnsi="Bookman Old Style"/>
          <w:sz w:val="24"/>
          <w:szCs w:val="24"/>
        </w:rPr>
        <w:t xml:space="preserve">έλη η βεβαιότητα ότι τα ομόλογά τους θ’ αγορασθούν τελικώς από την ΕΚΤ, καθώς κάτι τέτοιο θα συνιστούσε έμμεση καταστρατήγηση της απαγόρευσης νομισματικής χρηματοδότησης, ισοδύναμη με παράβασή της, και θα προκαλούσε αντικίνητρο για την εφαρμογή μιας υγιούς δημοσιονομικής πολιτικής από τα </w:t>
      </w:r>
      <w:r w:rsidR="00695D4B">
        <w:rPr>
          <w:rFonts w:ascii="Bookman Old Style" w:hAnsi="Bookman Old Style"/>
          <w:sz w:val="24"/>
          <w:szCs w:val="24"/>
        </w:rPr>
        <w:t>Κ</w:t>
      </w:r>
      <w:r w:rsidR="00AB3A5A" w:rsidRPr="00AB3A5A">
        <w:rPr>
          <w:rFonts w:ascii="Bookman Old Style" w:hAnsi="Bookman Old Style"/>
          <w:sz w:val="24"/>
          <w:szCs w:val="24"/>
        </w:rPr>
        <w:t>ράτη-</w:t>
      </w:r>
      <w:r w:rsidR="00695D4B">
        <w:rPr>
          <w:rFonts w:ascii="Bookman Old Style" w:hAnsi="Bookman Old Style"/>
          <w:sz w:val="24"/>
          <w:szCs w:val="24"/>
        </w:rPr>
        <w:t>Μ</w:t>
      </w:r>
      <w:r w:rsidR="00AB3A5A" w:rsidRPr="00AB3A5A">
        <w:rPr>
          <w:rFonts w:ascii="Bookman Old Style" w:hAnsi="Bookman Old Style"/>
          <w:sz w:val="24"/>
          <w:szCs w:val="24"/>
        </w:rPr>
        <w:t xml:space="preserve">έλη. </w:t>
      </w:r>
    </w:p>
    <w:p w:rsidR="00FA1CA1" w:rsidRPr="00FA1CA1" w:rsidRDefault="00695D4B" w:rsidP="00303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ind w:left="851" w:hanging="284"/>
        <w:jc w:val="both"/>
        <w:rPr>
          <w:rFonts w:ascii="Bookman Old Style" w:hAnsi="Bookman Old Style"/>
          <w:b/>
          <w:sz w:val="24"/>
          <w:szCs w:val="24"/>
        </w:rPr>
      </w:pPr>
      <w:r>
        <w:rPr>
          <w:rFonts w:ascii="Bookman Old Style" w:hAnsi="Bookman Old Style"/>
          <w:b/>
          <w:sz w:val="24"/>
          <w:szCs w:val="24"/>
        </w:rPr>
        <w:t>4</w:t>
      </w:r>
      <w:r w:rsidR="00AB3A5A" w:rsidRPr="00AB3A5A">
        <w:rPr>
          <w:rFonts w:ascii="Bookman Old Style" w:hAnsi="Bookman Old Style"/>
          <w:b/>
          <w:sz w:val="24"/>
          <w:szCs w:val="24"/>
        </w:rPr>
        <w:t>.</w:t>
      </w:r>
      <w:r w:rsidR="00AB3A5A" w:rsidRPr="00AB3A5A">
        <w:rPr>
          <w:rFonts w:ascii="Bookman Old Style" w:hAnsi="Bookman Old Style"/>
          <w:sz w:val="24"/>
          <w:szCs w:val="24"/>
        </w:rPr>
        <w:t xml:space="preserve"> </w:t>
      </w:r>
      <w:r w:rsidR="00FA1CA1">
        <w:rPr>
          <w:rFonts w:ascii="Bookman Old Style" w:hAnsi="Bookman Old Style"/>
          <w:b/>
          <w:sz w:val="24"/>
          <w:szCs w:val="24"/>
        </w:rPr>
        <w:t>Έξη ουσιαστικές προϋποθέσεις.</w:t>
      </w:r>
    </w:p>
    <w:p w:rsidR="00AB3A5A" w:rsidRPr="00AB3A5A" w:rsidRDefault="00FA1CA1" w:rsidP="00303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ind w:left="851" w:hanging="284"/>
        <w:jc w:val="both"/>
        <w:rPr>
          <w:rFonts w:ascii="Bookman Old Style" w:hAnsi="Bookman Old Style"/>
          <w:sz w:val="24"/>
          <w:szCs w:val="24"/>
        </w:rPr>
      </w:pPr>
      <w:r>
        <w:rPr>
          <w:rFonts w:ascii="Bookman Old Style" w:hAnsi="Bookman Old Style"/>
          <w:sz w:val="24"/>
          <w:szCs w:val="24"/>
        </w:rPr>
        <w:tab/>
      </w:r>
      <w:r w:rsidR="00CE42E4">
        <w:rPr>
          <w:rFonts w:ascii="Bookman Old Style" w:hAnsi="Bookman Old Style"/>
          <w:sz w:val="24"/>
          <w:szCs w:val="24"/>
        </w:rPr>
        <w:t>Μέσα από αυτή τη σειρά συλλογισμών, το</w:t>
      </w:r>
      <w:r w:rsidR="00AB3A5A" w:rsidRPr="00AB3A5A">
        <w:rPr>
          <w:rFonts w:ascii="Bookman Old Style" w:hAnsi="Bookman Old Style"/>
          <w:sz w:val="24"/>
          <w:szCs w:val="24"/>
        </w:rPr>
        <w:t xml:space="preserve"> </w:t>
      </w:r>
      <w:r w:rsidR="00695D4B">
        <w:rPr>
          <w:rFonts w:ascii="Bookman Old Style" w:hAnsi="Bookman Old Style"/>
          <w:sz w:val="24"/>
          <w:szCs w:val="24"/>
        </w:rPr>
        <w:t>Ομοσπονδιακό Συνταγματικό Δικαστήριο της Γερμανίας</w:t>
      </w:r>
      <w:r w:rsidR="00AB3A5A" w:rsidRPr="00AB3A5A">
        <w:rPr>
          <w:rFonts w:ascii="Bookman Old Style" w:hAnsi="Bookman Old Style"/>
          <w:sz w:val="24"/>
          <w:szCs w:val="24"/>
        </w:rPr>
        <w:t xml:space="preserve"> </w:t>
      </w:r>
      <w:r w:rsidR="0077368B">
        <w:rPr>
          <w:rFonts w:ascii="Bookman Old Style" w:hAnsi="Bookman Old Style"/>
          <w:sz w:val="24"/>
          <w:szCs w:val="24"/>
        </w:rPr>
        <w:t>κατέληξε</w:t>
      </w:r>
      <w:r>
        <w:rPr>
          <w:rFonts w:ascii="Bookman Old Style" w:hAnsi="Bookman Old Style"/>
          <w:sz w:val="24"/>
          <w:szCs w:val="24"/>
        </w:rPr>
        <w:t>,</w:t>
      </w:r>
      <w:r w:rsidR="00AB3A5A" w:rsidRPr="00AB3A5A">
        <w:rPr>
          <w:rFonts w:ascii="Bookman Old Style" w:hAnsi="Bookman Old Style"/>
          <w:sz w:val="24"/>
          <w:szCs w:val="24"/>
        </w:rPr>
        <w:t xml:space="preserve"> ότι από την ερμηνεία του προγράμματος </w:t>
      </w:r>
      <w:r>
        <w:rPr>
          <w:rFonts w:ascii="Bookman Old Style" w:hAnsi="Bookman Old Style"/>
          <w:sz w:val="24"/>
          <w:szCs w:val="24"/>
        </w:rPr>
        <w:t>«</w:t>
      </w:r>
      <w:r w:rsidR="00AB3A5A" w:rsidRPr="00AB3A5A">
        <w:rPr>
          <w:rFonts w:ascii="Bookman Old Style" w:hAnsi="Bookman Old Style"/>
          <w:sz w:val="24"/>
          <w:szCs w:val="24"/>
        </w:rPr>
        <w:t>ΟΜΤ</w:t>
      </w:r>
      <w:r>
        <w:rPr>
          <w:rFonts w:ascii="Bookman Old Style" w:hAnsi="Bookman Old Style"/>
          <w:sz w:val="24"/>
          <w:szCs w:val="24"/>
        </w:rPr>
        <w:t>»</w:t>
      </w:r>
      <w:r w:rsidR="00AB3A5A" w:rsidRPr="00AB3A5A">
        <w:rPr>
          <w:rFonts w:ascii="Bookman Old Style" w:hAnsi="Bookman Old Style"/>
          <w:sz w:val="24"/>
          <w:szCs w:val="24"/>
        </w:rPr>
        <w:t xml:space="preserve"> εκ μέρους του  ΔΕΕ προκύπτουν έξι προϋποθέσεις για την νομιμότητά του και την συμμετοχή της Κεντρικής Τράπεζας της Γερμανίας («Bundesbank») σ</w:t>
      </w:r>
      <w:r>
        <w:rPr>
          <w:rFonts w:ascii="Bookman Old Style" w:hAnsi="Bookman Old Style"/>
          <w:sz w:val="24"/>
          <w:szCs w:val="24"/>
        </w:rPr>
        <w:t>ε</w:t>
      </w:r>
      <w:r w:rsidR="00AB3A5A" w:rsidRPr="00AB3A5A">
        <w:rPr>
          <w:rFonts w:ascii="Bookman Old Style" w:hAnsi="Bookman Old Style"/>
          <w:sz w:val="24"/>
          <w:szCs w:val="24"/>
        </w:rPr>
        <w:t xml:space="preserve"> αυτό (σκ. 199, 205 επ.): </w:t>
      </w:r>
    </w:p>
    <w:p w:rsidR="00AB3A5A" w:rsidRPr="00AB3A5A" w:rsidRDefault="00695D4B" w:rsidP="00303AFA">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ind w:left="1134" w:hanging="283"/>
        <w:jc w:val="both"/>
        <w:rPr>
          <w:rFonts w:ascii="Bookman Old Style" w:hAnsi="Bookman Old Style"/>
          <w:sz w:val="24"/>
          <w:szCs w:val="24"/>
        </w:rPr>
      </w:pPr>
      <w:r>
        <w:rPr>
          <w:rFonts w:ascii="Bookman Old Style" w:hAnsi="Bookman Old Style"/>
          <w:b/>
          <w:sz w:val="24"/>
          <w:szCs w:val="24"/>
        </w:rPr>
        <w:t>α)</w:t>
      </w:r>
      <w:r w:rsidR="00AB3A5A" w:rsidRPr="00AB3A5A">
        <w:rPr>
          <w:rFonts w:ascii="Bookman Old Style" w:hAnsi="Bookman Old Style"/>
          <w:sz w:val="24"/>
          <w:szCs w:val="24"/>
        </w:rPr>
        <w:t xml:space="preserve"> Οι αγορές κρατικών ομολόγων δεν επιτρέπεται να ανακοινώνονται (σκ. 106 </w:t>
      </w:r>
      <w:r w:rsidR="00FA1CA1">
        <w:rPr>
          <w:rFonts w:ascii="Bookman Old Style" w:hAnsi="Bookman Old Style"/>
          <w:sz w:val="24"/>
          <w:szCs w:val="24"/>
        </w:rPr>
        <w:t xml:space="preserve">του </w:t>
      </w:r>
      <w:r w:rsidR="00AB3A5A" w:rsidRPr="00AB3A5A">
        <w:rPr>
          <w:rFonts w:ascii="Bookman Old Style" w:hAnsi="Bookman Old Style"/>
          <w:sz w:val="24"/>
          <w:szCs w:val="24"/>
        </w:rPr>
        <w:t xml:space="preserve">ΔΕΕ). </w:t>
      </w:r>
    </w:p>
    <w:p w:rsidR="00AB3A5A" w:rsidRPr="00AB3A5A" w:rsidRDefault="00695D4B" w:rsidP="00303AFA">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ind w:left="1134" w:hanging="283"/>
        <w:jc w:val="both"/>
        <w:rPr>
          <w:rFonts w:ascii="Bookman Old Style" w:hAnsi="Bookman Old Style"/>
          <w:sz w:val="24"/>
          <w:szCs w:val="24"/>
        </w:rPr>
      </w:pPr>
      <w:r>
        <w:rPr>
          <w:rFonts w:ascii="Bookman Old Style" w:hAnsi="Bookman Old Style"/>
          <w:b/>
          <w:sz w:val="24"/>
          <w:szCs w:val="24"/>
        </w:rPr>
        <w:t>β)</w:t>
      </w:r>
      <w:r w:rsidR="00AB3A5A" w:rsidRPr="00AB3A5A">
        <w:rPr>
          <w:rFonts w:ascii="Bookman Old Style" w:hAnsi="Bookman Old Style"/>
          <w:sz w:val="24"/>
          <w:szCs w:val="24"/>
        </w:rPr>
        <w:t xml:space="preserve"> Ο όγκος των αγορών αυτών δεν επιτρέπεται να είναι απεριόριστος (σκ. 106 ΔΕΕ). </w:t>
      </w:r>
    </w:p>
    <w:p w:rsidR="00AB3A5A" w:rsidRPr="00AB3A5A" w:rsidRDefault="00695D4B" w:rsidP="00303AFA">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ind w:left="1134" w:hanging="283"/>
        <w:jc w:val="both"/>
        <w:rPr>
          <w:rFonts w:ascii="Bookman Old Style" w:hAnsi="Bookman Old Style"/>
          <w:sz w:val="24"/>
          <w:szCs w:val="24"/>
        </w:rPr>
      </w:pPr>
      <w:r>
        <w:rPr>
          <w:rFonts w:ascii="Bookman Old Style" w:hAnsi="Bookman Old Style"/>
          <w:b/>
          <w:sz w:val="24"/>
          <w:szCs w:val="24"/>
        </w:rPr>
        <w:t>γ)</w:t>
      </w:r>
      <w:r w:rsidR="00AB3A5A" w:rsidRPr="00AB3A5A">
        <w:rPr>
          <w:rFonts w:ascii="Bookman Old Style" w:hAnsi="Bookman Old Style"/>
          <w:sz w:val="24"/>
          <w:szCs w:val="24"/>
        </w:rPr>
        <w:t xml:space="preserve"> Μεταξύ της έκδοσης ενός κρατικού ομολόγου και της αγοράς </w:t>
      </w:r>
      <w:r w:rsidR="00AB3A5A" w:rsidRPr="00AB3A5A">
        <w:rPr>
          <w:rFonts w:ascii="Bookman Old Style" w:hAnsi="Bookman Old Style"/>
          <w:sz w:val="24"/>
          <w:szCs w:val="24"/>
        </w:rPr>
        <w:lastRenderedPageBreak/>
        <w:t>του από την ΕΚΤ πρέπει να παρεμβάλλεται μια εκ των προτέρων καθορισμένη ελάχιστη προθεσμία, η οποία ν’ αποτρέπει τη</w:t>
      </w:r>
      <w:r w:rsidR="008159AD">
        <w:rPr>
          <w:rFonts w:ascii="Bookman Old Style" w:hAnsi="Bookman Old Style"/>
          <w:sz w:val="24"/>
          <w:szCs w:val="24"/>
        </w:rPr>
        <w:t>ν</w:t>
      </w:r>
      <w:r w:rsidR="00AB3A5A" w:rsidRPr="00AB3A5A">
        <w:rPr>
          <w:rFonts w:ascii="Bookman Old Style" w:hAnsi="Bookman Old Style"/>
          <w:sz w:val="24"/>
          <w:szCs w:val="24"/>
        </w:rPr>
        <w:t xml:space="preserve"> νόθευση των όρων έκδοσής του (σκ. 106 επ. </w:t>
      </w:r>
      <w:r w:rsidR="008159AD">
        <w:rPr>
          <w:rFonts w:ascii="Bookman Old Style" w:hAnsi="Bookman Old Style"/>
          <w:sz w:val="24"/>
          <w:szCs w:val="24"/>
        </w:rPr>
        <w:t xml:space="preserve">του </w:t>
      </w:r>
      <w:r w:rsidR="00AB3A5A" w:rsidRPr="00AB3A5A">
        <w:rPr>
          <w:rFonts w:ascii="Bookman Old Style" w:hAnsi="Bookman Old Style"/>
          <w:sz w:val="24"/>
          <w:szCs w:val="24"/>
        </w:rPr>
        <w:t xml:space="preserve">ΔΕΕ). </w:t>
      </w:r>
    </w:p>
    <w:p w:rsidR="00AB3A5A" w:rsidRPr="00AB3A5A" w:rsidRDefault="00695D4B" w:rsidP="00303AFA">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ind w:left="1134" w:hanging="283"/>
        <w:jc w:val="both"/>
        <w:rPr>
          <w:rFonts w:ascii="Bookman Old Style" w:hAnsi="Bookman Old Style"/>
          <w:sz w:val="24"/>
          <w:szCs w:val="24"/>
        </w:rPr>
      </w:pPr>
      <w:r>
        <w:rPr>
          <w:rFonts w:ascii="Bookman Old Style" w:hAnsi="Bookman Old Style"/>
          <w:b/>
          <w:sz w:val="24"/>
          <w:szCs w:val="24"/>
        </w:rPr>
        <w:t>δ)</w:t>
      </w:r>
      <w:r w:rsidR="00AB3A5A" w:rsidRPr="00AB3A5A">
        <w:rPr>
          <w:rFonts w:ascii="Bookman Old Style" w:hAnsi="Bookman Old Style"/>
          <w:sz w:val="24"/>
          <w:szCs w:val="24"/>
        </w:rPr>
        <w:t xml:space="preserve"> Η αγορά ομολόγων επιτρέπεται μόνον εφόσον τα προς αγορά ομόλογα </w:t>
      </w:r>
      <w:r w:rsidR="008159AD">
        <w:rPr>
          <w:rFonts w:ascii="Bookman Old Style" w:hAnsi="Bookman Old Style"/>
          <w:sz w:val="24"/>
          <w:szCs w:val="24"/>
        </w:rPr>
        <w:t>είχαν</w:t>
      </w:r>
      <w:r w:rsidR="00AB3A5A" w:rsidRPr="00AB3A5A">
        <w:rPr>
          <w:rFonts w:ascii="Bookman Old Style" w:hAnsi="Bookman Old Style"/>
          <w:sz w:val="24"/>
          <w:szCs w:val="24"/>
        </w:rPr>
        <w:t xml:space="preserve"> εκδοθεί από </w:t>
      </w:r>
      <w:r w:rsidR="008159AD">
        <w:rPr>
          <w:rFonts w:ascii="Bookman Old Style" w:hAnsi="Bookman Old Style"/>
          <w:sz w:val="24"/>
          <w:szCs w:val="24"/>
        </w:rPr>
        <w:t>Κ</w:t>
      </w:r>
      <w:r w:rsidR="00AB3A5A" w:rsidRPr="00AB3A5A">
        <w:rPr>
          <w:rFonts w:ascii="Bookman Old Style" w:hAnsi="Bookman Old Style"/>
          <w:sz w:val="24"/>
          <w:szCs w:val="24"/>
        </w:rPr>
        <w:t>ράτη με πρόσβαση στις χρηματοπιστωτικές αγορές, η οποία να καθιστά δυνατή την χρηματοδότησή τους απ</w:t>
      </w:r>
      <w:r w:rsidR="008159AD">
        <w:rPr>
          <w:rFonts w:ascii="Bookman Old Style" w:hAnsi="Bookman Old Style"/>
          <w:sz w:val="24"/>
          <w:szCs w:val="24"/>
        </w:rPr>
        <w:t xml:space="preserve">ό </w:t>
      </w:r>
      <w:r w:rsidR="00AB3A5A" w:rsidRPr="00AB3A5A">
        <w:rPr>
          <w:rFonts w:ascii="Bookman Old Style" w:hAnsi="Bookman Old Style"/>
          <w:sz w:val="24"/>
          <w:szCs w:val="24"/>
        </w:rPr>
        <w:t xml:space="preserve">αυτές (σκ. 116 και 119 </w:t>
      </w:r>
      <w:r w:rsidR="008159AD">
        <w:rPr>
          <w:rFonts w:ascii="Bookman Old Style" w:hAnsi="Bookman Old Style"/>
          <w:sz w:val="24"/>
          <w:szCs w:val="24"/>
        </w:rPr>
        <w:t xml:space="preserve">του </w:t>
      </w:r>
      <w:r w:rsidR="00AB3A5A" w:rsidRPr="00AB3A5A">
        <w:rPr>
          <w:rFonts w:ascii="Bookman Old Style" w:hAnsi="Bookman Old Style"/>
          <w:sz w:val="24"/>
          <w:szCs w:val="24"/>
        </w:rPr>
        <w:t>ΔΕΕ).</w:t>
      </w:r>
    </w:p>
    <w:p w:rsidR="00AB3A5A" w:rsidRPr="00AB3A5A" w:rsidRDefault="00695D4B" w:rsidP="00303AFA">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ind w:left="1134" w:hanging="283"/>
        <w:jc w:val="both"/>
        <w:rPr>
          <w:rFonts w:ascii="Bookman Old Style" w:hAnsi="Bookman Old Style"/>
          <w:sz w:val="24"/>
          <w:szCs w:val="24"/>
        </w:rPr>
      </w:pPr>
      <w:r>
        <w:rPr>
          <w:rFonts w:ascii="Bookman Old Style" w:hAnsi="Bookman Old Style"/>
          <w:b/>
          <w:sz w:val="24"/>
          <w:szCs w:val="24"/>
        </w:rPr>
        <w:t>ε)</w:t>
      </w:r>
      <w:r w:rsidR="00AB3A5A" w:rsidRPr="00AB3A5A">
        <w:rPr>
          <w:rFonts w:ascii="Bookman Old Style" w:hAnsi="Bookman Old Style"/>
          <w:sz w:val="24"/>
          <w:szCs w:val="24"/>
        </w:rPr>
        <w:t xml:space="preserve"> Η διακράτηση των αγορασθέντων από την ΕΚΤ ομολόγων</w:t>
      </w:r>
      <w:r w:rsidR="00CE42E4">
        <w:rPr>
          <w:rFonts w:ascii="Bookman Old Style" w:hAnsi="Bookman Old Style"/>
          <w:sz w:val="24"/>
          <w:szCs w:val="24"/>
        </w:rPr>
        <w:t>,</w:t>
      </w:r>
      <w:r w:rsidR="00AB3A5A" w:rsidRPr="00AB3A5A">
        <w:rPr>
          <w:rFonts w:ascii="Bookman Old Style" w:hAnsi="Bookman Old Style"/>
          <w:sz w:val="24"/>
          <w:szCs w:val="24"/>
        </w:rPr>
        <w:t xml:space="preserve"> ως την λήξη </w:t>
      </w:r>
      <w:r w:rsidR="00CE42E4">
        <w:rPr>
          <w:rFonts w:ascii="Bookman Old Style" w:hAnsi="Bookman Old Style"/>
          <w:sz w:val="24"/>
          <w:szCs w:val="24"/>
        </w:rPr>
        <w:t>τους,</w:t>
      </w:r>
      <w:r w:rsidR="00AB3A5A" w:rsidRPr="00AB3A5A">
        <w:rPr>
          <w:rFonts w:ascii="Bookman Old Style" w:hAnsi="Bookman Old Style"/>
          <w:sz w:val="24"/>
          <w:szCs w:val="24"/>
        </w:rPr>
        <w:t xml:space="preserve"> επιτρέπεται μόνο κατ’ εξαίρεση (σκ. 117 επ.</w:t>
      </w:r>
      <w:r w:rsidR="008159AD">
        <w:rPr>
          <w:rFonts w:ascii="Bookman Old Style" w:hAnsi="Bookman Old Style"/>
          <w:sz w:val="24"/>
          <w:szCs w:val="24"/>
        </w:rPr>
        <w:t xml:space="preserve"> του</w:t>
      </w:r>
      <w:r w:rsidR="00AB3A5A" w:rsidRPr="00AB3A5A">
        <w:rPr>
          <w:rFonts w:ascii="Bookman Old Style" w:hAnsi="Bookman Old Style"/>
          <w:sz w:val="24"/>
          <w:szCs w:val="24"/>
        </w:rPr>
        <w:t xml:space="preserve"> ΔΕΕ). </w:t>
      </w:r>
    </w:p>
    <w:p w:rsidR="00AB3A5A" w:rsidRPr="00AB3A5A" w:rsidRDefault="00695D4B" w:rsidP="00303AFA">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360" w:lineRule="auto"/>
        <w:ind w:left="1134" w:hanging="283"/>
        <w:jc w:val="both"/>
        <w:rPr>
          <w:rFonts w:ascii="Bookman Old Style" w:hAnsi="Bookman Old Style"/>
          <w:sz w:val="24"/>
          <w:szCs w:val="24"/>
        </w:rPr>
      </w:pPr>
      <w:r>
        <w:rPr>
          <w:rFonts w:ascii="Bookman Old Style" w:hAnsi="Bookman Old Style"/>
          <w:b/>
          <w:sz w:val="24"/>
          <w:szCs w:val="24"/>
        </w:rPr>
        <w:t>στ)</w:t>
      </w:r>
      <w:r w:rsidR="00AB3A5A" w:rsidRPr="00AB3A5A">
        <w:rPr>
          <w:rFonts w:ascii="Bookman Old Style" w:hAnsi="Bookman Old Style"/>
          <w:sz w:val="24"/>
          <w:szCs w:val="24"/>
        </w:rPr>
        <w:t xml:space="preserve"> Οι αγορασθέντες από την ΕΚΤ τίτλοι πρέπει να διατίθενται εκ νέου στην αγορά και οι αγορές κρατικών ομολόγων πρέπει να περιορίζονται ή να παύουν, αν η συνέχιση της παρέμβασης της ΕΚΤ ή η περαιτέρω διακράτηση των τίτλων δεν είναι αναγκαίες για την επίτευξη των στόχων της νομισματικής πολιτικής (σκ. 112 επ., 117 επ. </w:t>
      </w:r>
      <w:r w:rsidR="008159AD">
        <w:rPr>
          <w:rFonts w:ascii="Bookman Old Style" w:hAnsi="Bookman Old Style"/>
          <w:sz w:val="24"/>
          <w:szCs w:val="24"/>
        </w:rPr>
        <w:t xml:space="preserve">του </w:t>
      </w:r>
      <w:r w:rsidR="00AB3A5A" w:rsidRPr="00AB3A5A">
        <w:rPr>
          <w:rFonts w:ascii="Bookman Old Style" w:hAnsi="Bookman Old Style"/>
          <w:sz w:val="24"/>
          <w:szCs w:val="24"/>
        </w:rPr>
        <w:t xml:space="preserve">ΔΕΕ). </w:t>
      </w:r>
    </w:p>
    <w:p w:rsidR="00AB3A5A" w:rsidRPr="00AB3A5A" w:rsidRDefault="00695D4B" w:rsidP="00303AFA">
      <w:pPr>
        <w:spacing w:before="240" w:after="240" w:line="360" w:lineRule="auto"/>
        <w:ind w:left="567" w:hanging="283"/>
        <w:jc w:val="both"/>
        <w:rPr>
          <w:rFonts w:ascii="Bookman Old Style" w:hAnsi="Bookman Old Style"/>
          <w:b/>
          <w:sz w:val="24"/>
          <w:szCs w:val="24"/>
        </w:rPr>
      </w:pPr>
      <w:r>
        <w:rPr>
          <w:rFonts w:ascii="Bookman Old Style" w:hAnsi="Bookman Old Style"/>
          <w:b/>
          <w:sz w:val="24"/>
          <w:szCs w:val="24"/>
        </w:rPr>
        <w:t xml:space="preserve">Δ. </w:t>
      </w:r>
      <w:r w:rsidR="00AB3A5A" w:rsidRPr="00AB3A5A">
        <w:rPr>
          <w:rFonts w:ascii="Bookman Old Style" w:hAnsi="Bookman Old Style"/>
          <w:b/>
          <w:sz w:val="24"/>
          <w:szCs w:val="24"/>
        </w:rPr>
        <w:t xml:space="preserve">Συμπεράσματα:  Η «καχυποψία» του </w:t>
      </w:r>
      <w:r>
        <w:rPr>
          <w:rFonts w:ascii="Bookman Old Style" w:hAnsi="Bookman Old Style"/>
          <w:b/>
          <w:sz w:val="24"/>
          <w:szCs w:val="24"/>
        </w:rPr>
        <w:t>Ομοσπονδιακ</w:t>
      </w:r>
      <w:r w:rsidR="008159AD">
        <w:rPr>
          <w:rFonts w:ascii="Bookman Old Style" w:hAnsi="Bookman Old Style"/>
          <w:b/>
          <w:sz w:val="24"/>
          <w:szCs w:val="24"/>
        </w:rPr>
        <w:t>ού</w:t>
      </w:r>
      <w:r>
        <w:rPr>
          <w:rFonts w:ascii="Bookman Old Style" w:hAnsi="Bookman Old Style"/>
          <w:b/>
          <w:sz w:val="24"/>
          <w:szCs w:val="24"/>
        </w:rPr>
        <w:t xml:space="preserve"> Συνταγματικ</w:t>
      </w:r>
      <w:r w:rsidR="008159AD">
        <w:rPr>
          <w:rFonts w:ascii="Bookman Old Style" w:hAnsi="Bookman Old Style"/>
          <w:b/>
          <w:sz w:val="24"/>
          <w:szCs w:val="24"/>
        </w:rPr>
        <w:t>ού</w:t>
      </w:r>
      <w:r>
        <w:rPr>
          <w:rFonts w:ascii="Bookman Old Style" w:hAnsi="Bookman Old Style"/>
          <w:b/>
          <w:sz w:val="24"/>
          <w:szCs w:val="24"/>
        </w:rPr>
        <w:t xml:space="preserve"> Δικαστ</w:t>
      </w:r>
      <w:r w:rsidR="008159AD">
        <w:rPr>
          <w:rFonts w:ascii="Bookman Old Style" w:hAnsi="Bookman Old Style"/>
          <w:b/>
          <w:sz w:val="24"/>
          <w:szCs w:val="24"/>
        </w:rPr>
        <w:t>ηρίου</w:t>
      </w:r>
      <w:r>
        <w:rPr>
          <w:rFonts w:ascii="Bookman Old Style" w:hAnsi="Bookman Old Style"/>
          <w:b/>
          <w:sz w:val="24"/>
          <w:szCs w:val="24"/>
        </w:rPr>
        <w:t xml:space="preserve"> της Γερμανίας</w:t>
      </w:r>
      <w:r w:rsidR="008159AD">
        <w:rPr>
          <w:rFonts w:ascii="Bookman Old Style" w:hAnsi="Bookman Old Style"/>
          <w:b/>
          <w:sz w:val="24"/>
          <w:szCs w:val="24"/>
        </w:rPr>
        <w:t>.</w:t>
      </w:r>
    </w:p>
    <w:p w:rsidR="00AB3A5A" w:rsidRPr="00AB3A5A" w:rsidRDefault="00AB3A5A" w:rsidP="00303AFA">
      <w:pPr>
        <w:spacing w:before="240" w:after="240" w:line="360" w:lineRule="auto"/>
        <w:ind w:left="284"/>
        <w:jc w:val="both"/>
        <w:rPr>
          <w:rFonts w:ascii="Bookman Old Style" w:hAnsi="Bookman Old Style"/>
          <w:sz w:val="24"/>
          <w:szCs w:val="24"/>
        </w:rPr>
      </w:pPr>
      <w:r w:rsidRPr="00AB3A5A">
        <w:rPr>
          <w:rFonts w:ascii="Bookman Old Style" w:hAnsi="Bookman Old Style"/>
          <w:sz w:val="24"/>
          <w:szCs w:val="24"/>
        </w:rPr>
        <w:t xml:space="preserve">Το </w:t>
      </w:r>
      <w:r w:rsidR="00695D4B">
        <w:rPr>
          <w:rFonts w:ascii="Bookman Old Style" w:hAnsi="Bookman Old Style"/>
          <w:sz w:val="24"/>
          <w:szCs w:val="24"/>
        </w:rPr>
        <w:t>Ομοσπονδιακό Συνταγματικό Δικαστήριο της Γερμανίας</w:t>
      </w:r>
      <w:r w:rsidRPr="00AB3A5A">
        <w:rPr>
          <w:rFonts w:ascii="Bookman Old Style" w:hAnsi="Bookman Old Style"/>
          <w:sz w:val="24"/>
          <w:szCs w:val="24"/>
        </w:rPr>
        <w:t xml:space="preserve"> έκανε</w:t>
      </w:r>
      <w:r w:rsidR="008159AD">
        <w:rPr>
          <w:rFonts w:ascii="Bookman Old Style" w:hAnsi="Bookman Old Style"/>
          <w:sz w:val="24"/>
          <w:szCs w:val="24"/>
        </w:rPr>
        <w:t>,</w:t>
      </w:r>
      <w:r w:rsidRPr="00AB3A5A">
        <w:rPr>
          <w:rFonts w:ascii="Bookman Old Style" w:hAnsi="Bookman Old Style"/>
          <w:sz w:val="24"/>
          <w:szCs w:val="24"/>
        </w:rPr>
        <w:t xml:space="preserve"> κατ</w:t>
      </w:r>
      <w:r w:rsidR="008159AD">
        <w:rPr>
          <w:rFonts w:ascii="Bookman Old Style" w:hAnsi="Bookman Old Style"/>
          <w:sz w:val="24"/>
          <w:szCs w:val="24"/>
        </w:rPr>
        <w:t xml:space="preserve">’ </w:t>
      </w:r>
      <w:r w:rsidRPr="00AB3A5A">
        <w:rPr>
          <w:rFonts w:ascii="Bookman Old Style" w:hAnsi="Bookman Old Style"/>
          <w:sz w:val="24"/>
          <w:szCs w:val="24"/>
        </w:rPr>
        <w:t>αρχήν</w:t>
      </w:r>
      <w:r w:rsidR="0077368B">
        <w:rPr>
          <w:rFonts w:ascii="Bookman Old Style" w:hAnsi="Bookman Old Style"/>
          <w:sz w:val="24"/>
          <w:szCs w:val="24"/>
        </w:rPr>
        <w:t>,</w:t>
      </w:r>
      <w:r w:rsidRPr="00AB3A5A">
        <w:rPr>
          <w:rFonts w:ascii="Bookman Old Style" w:hAnsi="Bookman Old Style"/>
          <w:sz w:val="24"/>
          <w:szCs w:val="24"/>
        </w:rPr>
        <w:t xml:space="preserve"> δεκτή την σύμφωνη με το </w:t>
      </w:r>
      <w:r w:rsidR="008159AD">
        <w:rPr>
          <w:rFonts w:ascii="Bookman Old Style" w:hAnsi="Bookman Old Style"/>
          <w:sz w:val="24"/>
          <w:szCs w:val="24"/>
        </w:rPr>
        <w:t>Ε</w:t>
      </w:r>
      <w:r w:rsidRPr="00AB3A5A">
        <w:rPr>
          <w:rFonts w:ascii="Bookman Old Style" w:hAnsi="Bookman Old Style"/>
          <w:sz w:val="24"/>
          <w:szCs w:val="24"/>
        </w:rPr>
        <w:t xml:space="preserve">υρωπαϊκό </w:t>
      </w:r>
      <w:r w:rsidR="008159AD">
        <w:rPr>
          <w:rFonts w:ascii="Bookman Old Style" w:hAnsi="Bookman Old Style"/>
          <w:sz w:val="24"/>
          <w:szCs w:val="24"/>
        </w:rPr>
        <w:t>Δ</w:t>
      </w:r>
      <w:r w:rsidRPr="00AB3A5A">
        <w:rPr>
          <w:rFonts w:ascii="Bookman Old Style" w:hAnsi="Bookman Old Style"/>
          <w:sz w:val="24"/>
          <w:szCs w:val="24"/>
        </w:rPr>
        <w:t xml:space="preserve">ίκαιο ερμηνεία του προγράμματος </w:t>
      </w:r>
      <w:r w:rsidR="008159AD">
        <w:rPr>
          <w:rFonts w:ascii="Bookman Old Style" w:hAnsi="Bookman Old Style"/>
          <w:sz w:val="24"/>
          <w:szCs w:val="24"/>
        </w:rPr>
        <w:t>«</w:t>
      </w:r>
      <w:r w:rsidRPr="00AB3A5A">
        <w:rPr>
          <w:rFonts w:ascii="Bookman Old Style" w:hAnsi="Bookman Old Style"/>
          <w:sz w:val="24"/>
          <w:szCs w:val="24"/>
        </w:rPr>
        <w:t>ΟΜΤ</w:t>
      </w:r>
      <w:r w:rsidR="008159AD">
        <w:rPr>
          <w:rFonts w:ascii="Bookman Old Style" w:hAnsi="Bookman Old Style"/>
          <w:sz w:val="24"/>
          <w:szCs w:val="24"/>
        </w:rPr>
        <w:t>»</w:t>
      </w:r>
      <w:r w:rsidRPr="00AB3A5A">
        <w:rPr>
          <w:rFonts w:ascii="Bookman Old Style" w:hAnsi="Bookman Old Style"/>
          <w:sz w:val="24"/>
          <w:szCs w:val="24"/>
        </w:rPr>
        <w:t xml:space="preserve"> από το ΔΕΕ</w:t>
      </w:r>
      <w:r w:rsidR="008159AD">
        <w:rPr>
          <w:rFonts w:ascii="Bookman Old Style" w:hAnsi="Bookman Old Style"/>
          <w:sz w:val="24"/>
          <w:szCs w:val="24"/>
        </w:rPr>
        <w:t xml:space="preserve">. </w:t>
      </w:r>
      <w:r w:rsidRPr="00AB3A5A">
        <w:rPr>
          <w:rFonts w:ascii="Bookman Old Style" w:hAnsi="Bookman Old Style"/>
          <w:sz w:val="24"/>
          <w:szCs w:val="24"/>
        </w:rPr>
        <w:t xml:space="preserve"> </w:t>
      </w:r>
      <w:r w:rsidR="008159AD">
        <w:rPr>
          <w:rFonts w:ascii="Bookman Old Style" w:hAnsi="Bookman Old Style"/>
          <w:sz w:val="24"/>
          <w:szCs w:val="24"/>
        </w:rPr>
        <w:t>Έ</w:t>
      </w:r>
      <w:r w:rsidRPr="00AB3A5A">
        <w:rPr>
          <w:rFonts w:ascii="Bookman Old Style" w:hAnsi="Bookman Old Style"/>
          <w:sz w:val="24"/>
          <w:szCs w:val="24"/>
        </w:rPr>
        <w:t>κρινε όμως ότι –πάντα «καχύποπτο» έναντι τέτοιων πρωτοβουλιών της ΕΚΤ- δια της ερμηνείας αυτής τίθενται συγκεκριμένοι περιορισμοί στην εφαρμογή του εν λόγω προγράμματος.</w:t>
      </w:r>
    </w:p>
    <w:p w:rsidR="008159AD" w:rsidRDefault="008159AD" w:rsidP="00303AFA">
      <w:pPr>
        <w:pStyle w:val="a3"/>
        <w:numPr>
          <w:ilvl w:val="0"/>
          <w:numId w:val="5"/>
        </w:numPr>
        <w:spacing w:before="240" w:after="240" w:line="360" w:lineRule="auto"/>
        <w:contextualSpacing w:val="0"/>
        <w:jc w:val="both"/>
        <w:rPr>
          <w:rFonts w:ascii="Bookman Old Style" w:hAnsi="Bookman Old Style"/>
          <w:sz w:val="24"/>
          <w:szCs w:val="24"/>
        </w:rPr>
      </w:pPr>
      <w:r>
        <w:rPr>
          <w:rFonts w:ascii="Bookman Old Style" w:hAnsi="Bookman Old Style"/>
          <w:b/>
          <w:sz w:val="24"/>
          <w:szCs w:val="24"/>
        </w:rPr>
        <w:t>Η διάκριση μεταξύ ανακοίνωσης και εφαρμογής του προγράμματος «ΟΜΤ».</w:t>
      </w:r>
    </w:p>
    <w:p w:rsidR="00AB3A5A" w:rsidRPr="00695D4B" w:rsidRDefault="00AB3A5A" w:rsidP="00303AFA">
      <w:pPr>
        <w:pStyle w:val="a3"/>
        <w:spacing w:before="240" w:after="240" w:line="360" w:lineRule="auto"/>
        <w:contextualSpacing w:val="0"/>
        <w:jc w:val="both"/>
        <w:rPr>
          <w:rFonts w:ascii="Bookman Old Style" w:hAnsi="Bookman Old Style"/>
          <w:sz w:val="24"/>
          <w:szCs w:val="24"/>
        </w:rPr>
      </w:pPr>
      <w:r w:rsidRPr="00695D4B">
        <w:rPr>
          <w:rFonts w:ascii="Bookman Old Style" w:hAnsi="Bookman Old Style"/>
          <w:sz w:val="24"/>
          <w:szCs w:val="24"/>
        </w:rPr>
        <w:t>Η κρίση αυτή βασίσθηκε στην σκέψη</w:t>
      </w:r>
      <w:r w:rsidR="008159AD">
        <w:rPr>
          <w:rFonts w:ascii="Bookman Old Style" w:hAnsi="Bookman Old Style"/>
          <w:sz w:val="24"/>
          <w:szCs w:val="24"/>
        </w:rPr>
        <w:t>,</w:t>
      </w:r>
      <w:r w:rsidRPr="00695D4B">
        <w:rPr>
          <w:rFonts w:ascii="Bookman Old Style" w:hAnsi="Bookman Old Style"/>
          <w:sz w:val="24"/>
          <w:szCs w:val="24"/>
        </w:rPr>
        <w:t xml:space="preserve"> ότι πρέπει να γίνει διάκριση μεταξύ της απλής ανακοίνωσης του προγράμματος και της εφαρμογής του:  Ενώ η εξασφάλιση της αποτελεσματικότητ</w:t>
      </w:r>
      <w:r w:rsidR="0077368B">
        <w:rPr>
          <w:rFonts w:ascii="Bookman Old Style" w:hAnsi="Bookman Old Style"/>
          <w:sz w:val="24"/>
          <w:szCs w:val="24"/>
        </w:rPr>
        <w:t>α</w:t>
      </w:r>
      <w:r w:rsidRPr="00695D4B">
        <w:rPr>
          <w:rFonts w:ascii="Bookman Old Style" w:hAnsi="Bookman Old Style"/>
          <w:sz w:val="24"/>
          <w:szCs w:val="24"/>
        </w:rPr>
        <w:t xml:space="preserve">ς της </w:t>
      </w:r>
      <w:r w:rsidRPr="00695D4B">
        <w:rPr>
          <w:rFonts w:ascii="Bookman Old Style" w:hAnsi="Bookman Old Style"/>
          <w:sz w:val="24"/>
          <w:szCs w:val="24"/>
        </w:rPr>
        <w:lastRenderedPageBreak/>
        <w:t xml:space="preserve">ανακοίνωσης του προγράμματος και της </w:t>
      </w:r>
      <w:r w:rsidR="0077368B">
        <w:rPr>
          <w:rFonts w:ascii="Bookman Old Style" w:hAnsi="Bookman Old Style"/>
          <w:sz w:val="24"/>
          <w:szCs w:val="24"/>
        </w:rPr>
        <w:t>θετικής</w:t>
      </w:r>
      <w:r w:rsidRPr="00695D4B">
        <w:rPr>
          <w:rFonts w:ascii="Bookman Old Style" w:hAnsi="Bookman Old Style"/>
          <w:sz w:val="24"/>
          <w:szCs w:val="24"/>
        </w:rPr>
        <w:t xml:space="preserve"> της επίδρασής του στις αγορές νομιμοποιεί την παράλειψη αναφοράς πιο συγκεκριμένων περιορισμών εφαρμογής του προγράμματος από τις παραμέτρους που ανακοινώθηκαν την 6</w:t>
      </w:r>
      <w:r w:rsidRPr="00695D4B">
        <w:rPr>
          <w:rFonts w:ascii="Bookman Old Style" w:hAnsi="Bookman Old Style"/>
          <w:sz w:val="24"/>
          <w:szCs w:val="24"/>
          <w:vertAlign w:val="superscript"/>
        </w:rPr>
        <w:t>η</w:t>
      </w:r>
      <w:r w:rsidRPr="00695D4B">
        <w:rPr>
          <w:rFonts w:ascii="Bookman Old Style" w:hAnsi="Bookman Old Style"/>
          <w:sz w:val="24"/>
          <w:szCs w:val="24"/>
        </w:rPr>
        <w:t xml:space="preserve"> Σεπτεμβρίου 2012, οι πράξεις οι οποίες απαιτούντ</w:t>
      </w:r>
      <w:r w:rsidR="008159AD">
        <w:rPr>
          <w:rFonts w:ascii="Bookman Old Style" w:hAnsi="Bookman Old Style"/>
          <w:sz w:val="24"/>
          <w:szCs w:val="24"/>
        </w:rPr>
        <w:t>αν</w:t>
      </w:r>
      <w:r w:rsidRPr="00695D4B">
        <w:rPr>
          <w:rFonts w:ascii="Bookman Old Style" w:hAnsi="Bookman Old Style"/>
          <w:sz w:val="24"/>
          <w:szCs w:val="24"/>
        </w:rPr>
        <w:t xml:space="preserve"> για την εφαρμογή του υπόκεινται σε αυστηρότερους όρους. </w:t>
      </w:r>
    </w:p>
    <w:p w:rsidR="008159AD" w:rsidRDefault="009B64D2" w:rsidP="00303AFA">
      <w:pPr>
        <w:pStyle w:val="a3"/>
        <w:numPr>
          <w:ilvl w:val="0"/>
          <w:numId w:val="5"/>
        </w:numPr>
        <w:spacing w:before="240" w:after="240" w:line="360" w:lineRule="auto"/>
        <w:contextualSpacing w:val="0"/>
        <w:jc w:val="both"/>
        <w:rPr>
          <w:rFonts w:ascii="Bookman Old Style" w:hAnsi="Bookman Old Style"/>
          <w:sz w:val="24"/>
          <w:szCs w:val="24"/>
        </w:rPr>
      </w:pPr>
      <w:r>
        <w:rPr>
          <w:rFonts w:ascii="Bookman Old Style" w:hAnsi="Bookman Old Style"/>
          <w:b/>
          <w:sz w:val="24"/>
          <w:szCs w:val="24"/>
        </w:rPr>
        <w:t>Ο</w:t>
      </w:r>
      <w:r w:rsidR="008159AD">
        <w:rPr>
          <w:rFonts w:ascii="Bookman Old Style" w:hAnsi="Bookman Old Style"/>
          <w:b/>
          <w:sz w:val="24"/>
          <w:szCs w:val="24"/>
        </w:rPr>
        <w:t xml:space="preserve">ι χρονικοί και ποσοτικοί περιορισμοί των προγραμμάτων «ΟΜΤ». </w:t>
      </w:r>
    </w:p>
    <w:p w:rsidR="00AB3A5A" w:rsidRPr="008159AD" w:rsidRDefault="00AB3A5A" w:rsidP="00303AFA">
      <w:pPr>
        <w:spacing w:before="240" w:after="240" w:line="360" w:lineRule="auto"/>
        <w:ind w:left="720"/>
        <w:jc w:val="both"/>
        <w:rPr>
          <w:rFonts w:ascii="Bookman Old Style" w:hAnsi="Bookman Old Style"/>
          <w:sz w:val="24"/>
          <w:szCs w:val="24"/>
        </w:rPr>
      </w:pPr>
      <w:r w:rsidRPr="008159AD">
        <w:rPr>
          <w:rFonts w:ascii="Bookman Old Style" w:hAnsi="Bookman Old Style"/>
          <w:sz w:val="24"/>
          <w:szCs w:val="24"/>
        </w:rPr>
        <w:t xml:space="preserve">Κατά </w:t>
      </w:r>
      <w:r w:rsidR="00CE42E4">
        <w:rPr>
          <w:rFonts w:ascii="Bookman Old Style" w:hAnsi="Bookman Old Style"/>
          <w:sz w:val="24"/>
          <w:szCs w:val="24"/>
        </w:rPr>
        <w:t xml:space="preserve">το </w:t>
      </w:r>
      <w:r w:rsidR="00695D4B" w:rsidRPr="008159AD">
        <w:rPr>
          <w:rFonts w:ascii="Bookman Old Style" w:hAnsi="Bookman Old Style"/>
          <w:sz w:val="24"/>
          <w:szCs w:val="24"/>
        </w:rPr>
        <w:t>Ομοσπονδιακό Συνταγματικό Δικαστήριο της Γερμανίας</w:t>
      </w:r>
      <w:r w:rsidRPr="008159AD">
        <w:rPr>
          <w:rFonts w:ascii="Bookman Old Style" w:hAnsi="Bookman Old Style"/>
          <w:sz w:val="24"/>
          <w:szCs w:val="24"/>
        </w:rPr>
        <w:t xml:space="preserve">, η εφαρμογή του προγράμματος </w:t>
      </w:r>
      <w:r w:rsidR="008159AD">
        <w:rPr>
          <w:rFonts w:ascii="Bookman Old Style" w:hAnsi="Bookman Old Style"/>
          <w:sz w:val="24"/>
          <w:szCs w:val="24"/>
        </w:rPr>
        <w:t>«</w:t>
      </w:r>
      <w:r w:rsidRPr="008159AD">
        <w:rPr>
          <w:rFonts w:ascii="Bookman Old Style" w:hAnsi="Bookman Old Style"/>
          <w:sz w:val="24"/>
          <w:szCs w:val="24"/>
        </w:rPr>
        <w:t>ΟΜΤ</w:t>
      </w:r>
      <w:r w:rsidR="008159AD">
        <w:rPr>
          <w:rFonts w:ascii="Bookman Old Style" w:hAnsi="Bookman Old Style"/>
          <w:sz w:val="24"/>
          <w:szCs w:val="24"/>
        </w:rPr>
        <w:t>»</w:t>
      </w:r>
      <w:r w:rsidRPr="008159AD">
        <w:rPr>
          <w:rFonts w:ascii="Bookman Old Style" w:hAnsi="Bookman Old Style"/>
          <w:sz w:val="24"/>
          <w:szCs w:val="24"/>
        </w:rPr>
        <w:t xml:space="preserve"> πρέπει, σε κάθε περίπτωση, να είναι χρονικώς και ποσοτικώς περιορισμένη, ώστε να διασφαλίζεται ότι αποτελεί μέσο άσκησης αποκλειστικώς νομισματικής και όχι δημοσιονομικής ή οικονομικής πολιτικής.  Περαιτέρω δε πρέπει να συντρέχουν οι προαναφερόμενες έξι συγκεκριμένες προϋποθέσεις νόμιμης εφαρμογής του προγράμματος. </w:t>
      </w:r>
    </w:p>
    <w:p w:rsidR="008159AD" w:rsidRDefault="008159AD" w:rsidP="00303AFA">
      <w:pPr>
        <w:pStyle w:val="a3"/>
        <w:numPr>
          <w:ilvl w:val="0"/>
          <w:numId w:val="5"/>
        </w:numPr>
        <w:spacing w:before="240" w:after="240" w:line="360" w:lineRule="auto"/>
        <w:contextualSpacing w:val="0"/>
        <w:jc w:val="both"/>
        <w:rPr>
          <w:rFonts w:ascii="Bookman Old Style" w:hAnsi="Bookman Old Style"/>
          <w:sz w:val="24"/>
          <w:szCs w:val="24"/>
        </w:rPr>
      </w:pPr>
      <w:r>
        <w:rPr>
          <w:rFonts w:ascii="Bookman Old Style" w:hAnsi="Bookman Old Style"/>
          <w:b/>
          <w:sz w:val="24"/>
          <w:szCs w:val="24"/>
        </w:rPr>
        <w:t>Απαισιόδοξες προοπτικές.</w:t>
      </w:r>
    </w:p>
    <w:p w:rsidR="00AB3A5A" w:rsidRDefault="00AB3A5A" w:rsidP="00303AFA">
      <w:pPr>
        <w:pStyle w:val="a3"/>
        <w:spacing w:before="240" w:after="240" w:line="360" w:lineRule="auto"/>
        <w:contextualSpacing w:val="0"/>
        <w:jc w:val="both"/>
        <w:rPr>
          <w:rFonts w:ascii="Bookman Old Style" w:hAnsi="Bookman Old Style"/>
          <w:sz w:val="24"/>
          <w:szCs w:val="24"/>
        </w:rPr>
      </w:pPr>
      <w:r w:rsidRPr="00695D4B">
        <w:rPr>
          <w:rFonts w:ascii="Bookman Old Style" w:hAnsi="Bookman Old Style"/>
          <w:sz w:val="24"/>
          <w:szCs w:val="24"/>
        </w:rPr>
        <w:t xml:space="preserve">Μια τελική αποτίμηση της μελλοντικής αποτελεσματικότητας του προγράμματος </w:t>
      </w:r>
      <w:r w:rsidR="008159AD">
        <w:rPr>
          <w:rFonts w:ascii="Bookman Old Style" w:hAnsi="Bookman Old Style"/>
          <w:sz w:val="24"/>
          <w:szCs w:val="24"/>
        </w:rPr>
        <w:t>«</w:t>
      </w:r>
      <w:r w:rsidRPr="00695D4B">
        <w:rPr>
          <w:rFonts w:ascii="Bookman Old Style" w:hAnsi="Bookman Old Style"/>
          <w:sz w:val="24"/>
          <w:szCs w:val="24"/>
        </w:rPr>
        <w:t>ΟΜΤ</w:t>
      </w:r>
      <w:r w:rsidR="008159AD">
        <w:rPr>
          <w:rFonts w:ascii="Bookman Old Style" w:hAnsi="Bookman Old Style"/>
          <w:sz w:val="24"/>
          <w:szCs w:val="24"/>
        </w:rPr>
        <w:t>»</w:t>
      </w:r>
      <w:r w:rsidRPr="00695D4B">
        <w:rPr>
          <w:rFonts w:ascii="Bookman Old Style" w:hAnsi="Bookman Old Style"/>
          <w:sz w:val="24"/>
          <w:szCs w:val="24"/>
        </w:rPr>
        <w:t xml:space="preserve">, υπό τα προαναφερόμενα νομολογιακά δεδομένα του ΔΕΕ και του </w:t>
      </w:r>
      <w:r w:rsidR="00695D4B" w:rsidRPr="00695D4B">
        <w:rPr>
          <w:rFonts w:ascii="Bookman Old Style" w:hAnsi="Bookman Old Style"/>
          <w:sz w:val="24"/>
          <w:szCs w:val="24"/>
        </w:rPr>
        <w:t>Ομοσπονδιακ</w:t>
      </w:r>
      <w:r w:rsidR="00695D4B">
        <w:rPr>
          <w:rFonts w:ascii="Bookman Old Style" w:hAnsi="Bookman Old Style"/>
          <w:sz w:val="24"/>
          <w:szCs w:val="24"/>
        </w:rPr>
        <w:t>ού</w:t>
      </w:r>
      <w:r w:rsidR="00695D4B" w:rsidRPr="00695D4B">
        <w:rPr>
          <w:rFonts w:ascii="Bookman Old Style" w:hAnsi="Bookman Old Style"/>
          <w:sz w:val="24"/>
          <w:szCs w:val="24"/>
        </w:rPr>
        <w:t xml:space="preserve"> Συνταγματικ</w:t>
      </w:r>
      <w:r w:rsidR="00695D4B">
        <w:rPr>
          <w:rFonts w:ascii="Bookman Old Style" w:hAnsi="Bookman Old Style"/>
          <w:sz w:val="24"/>
          <w:szCs w:val="24"/>
        </w:rPr>
        <w:t>ού</w:t>
      </w:r>
      <w:r w:rsidR="00695D4B" w:rsidRPr="00695D4B">
        <w:rPr>
          <w:rFonts w:ascii="Bookman Old Style" w:hAnsi="Bookman Old Style"/>
          <w:sz w:val="24"/>
          <w:szCs w:val="24"/>
        </w:rPr>
        <w:t xml:space="preserve"> Δικαστ</w:t>
      </w:r>
      <w:r w:rsidR="00695D4B">
        <w:rPr>
          <w:rFonts w:ascii="Bookman Old Style" w:hAnsi="Bookman Old Style"/>
          <w:sz w:val="24"/>
          <w:szCs w:val="24"/>
        </w:rPr>
        <w:t>ηρίου</w:t>
      </w:r>
      <w:r w:rsidR="00695D4B" w:rsidRPr="00695D4B">
        <w:rPr>
          <w:rFonts w:ascii="Bookman Old Style" w:hAnsi="Bookman Old Style"/>
          <w:sz w:val="24"/>
          <w:szCs w:val="24"/>
        </w:rPr>
        <w:t xml:space="preserve"> της Γερμανίας</w:t>
      </w:r>
      <w:r w:rsidRPr="00695D4B">
        <w:rPr>
          <w:rFonts w:ascii="Bookman Old Style" w:hAnsi="Bookman Old Style"/>
          <w:sz w:val="24"/>
          <w:szCs w:val="24"/>
        </w:rPr>
        <w:t>, οδηγ</w:t>
      </w:r>
      <w:r w:rsidR="00695D4B">
        <w:rPr>
          <w:rFonts w:ascii="Bookman Old Style" w:hAnsi="Bookman Old Style"/>
          <w:sz w:val="24"/>
          <w:szCs w:val="24"/>
        </w:rPr>
        <w:t>ού</w:t>
      </w:r>
      <w:r w:rsidR="008159AD">
        <w:rPr>
          <w:rFonts w:ascii="Bookman Old Style" w:hAnsi="Bookman Old Style"/>
          <w:sz w:val="24"/>
          <w:szCs w:val="24"/>
        </w:rPr>
        <w:t>σαν</w:t>
      </w:r>
      <w:r w:rsidR="009B64D2">
        <w:rPr>
          <w:rFonts w:ascii="Bookman Old Style" w:hAnsi="Bookman Old Style"/>
          <w:sz w:val="24"/>
          <w:szCs w:val="24"/>
        </w:rPr>
        <w:t>,</w:t>
      </w:r>
      <w:r w:rsidR="00695D4B">
        <w:rPr>
          <w:rFonts w:ascii="Bookman Old Style" w:hAnsi="Bookman Old Style"/>
          <w:sz w:val="24"/>
          <w:szCs w:val="24"/>
        </w:rPr>
        <w:t xml:space="preserve"> εξ αρχής</w:t>
      </w:r>
      <w:r w:rsidR="008159AD">
        <w:rPr>
          <w:rFonts w:ascii="Bookman Old Style" w:hAnsi="Bookman Old Style"/>
          <w:sz w:val="24"/>
          <w:szCs w:val="24"/>
        </w:rPr>
        <w:t>,</w:t>
      </w:r>
      <w:r w:rsidRPr="00695D4B">
        <w:rPr>
          <w:rFonts w:ascii="Bookman Old Style" w:hAnsi="Bookman Old Style"/>
          <w:sz w:val="24"/>
          <w:szCs w:val="24"/>
        </w:rPr>
        <w:t xml:space="preserve"> στην ακόλουθη, δυσοίωνη, διαπίστωση:  Η, ούτως ή άλλως, περιορισμένη εμβέλεια του προγράμματος </w:t>
      </w:r>
      <w:r w:rsidR="008159AD">
        <w:rPr>
          <w:rFonts w:ascii="Bookman Old Style" w:hAnsi="Bookman Old Style"/>
          <w:sz w:val="24"/>
          <w:szCs w:val="24"/>
        </w:rPr>
        <w:t>«</w:t>
      </w:r>
      <w:r w:rsidRPr="00695D4B">
        <w:rPr>
          <w:rFonts w:ascii="Bookman Old Style" w:hAnsi="Bookman Old Style"/>
          <w:sz w:val="24"/>
          <w:szCs w:val="24"/>
        </w:rPr>
        <w:t>ΟΜΤ</w:t>
      </w:r>
      <w:r w:rsidR="008159AD">
        <w:rPr>
          <w:rFonts w:ascii="Bookman Old Style" w:hAnsi="Bookman Old Style"/>
          <w:sz w:val="24"/>
          <w:szCs w:val="24"/>
        </w:rPr>
        <w:t>»</w:t>
      </w:r>
      <w:r w:rsidRPr="00695D4B">
        <w:rPr>
          <w:rFonts w:ascii="Bookman Old Style" w:hAnsi="Bookman Old Style"/>
          <w:sz w:val="24"/>
          <w:szCs w:val="24"/>
        </w:rPr>
        <w:t xml:space="preserve"> –</w:t>
      </w:r>
      <w:r w:rsidR="009B64D2">
        <w:rPr>
          <w:rFonts w:ascii="Bookman Old Style" w:hAnsi="Bookman Old Style"/>
          <w:sz w:val="24"/>
          <w:szCs w:val="24"/>
        </w:rPr>
        <w:t>το οποίο</w:t>
      </w:r>
      <w:r w:rsidR="008159AD">
        <w:rPr>
          <w:rFonts w:ascii="Bookman Old Style" w:hAnsi="Bookman Old Style"/>
          <w:sz w:val="24"/>
          <w:szCs w:val="24"/>
        </w:rPr>
        <w:t xml:space="preserve"> </w:t>
      </w:r>
      <w:r w:rsidRPr="00695D4B">
        <w:rPr>
          <w:rFonts w:ascii="Bookman Old Style" w:hAnsi="Bookman Old Style"/>
          <w:sz w:val="24"/>
          <w:szCs w:val="24"/>
        </w:rPr>
        <w:t>«παρασάγγας» απ</w:t>
      </w:r>
      <w:r w:rsidR="008159AD">
        <w:rPr>
          <w:rFonts w:ascii="Bookman Old Style" w:hAnsi="Bookman Old Style"/>
          <w:sz w:val="24"/>
          <w:szCs w:val="24"/>
        </w:rPr>
        <w:t>είχε</w:t>
      </w:r>
      <w:r w:rsidRPr="00695D4B">
        <w:rPr>
          <w:rFonts w:ascii="Bookman Old Style" w:hAnsi="Bookman Old Style"/>
          <w:sz w:val="24"/>
          <w:szCs w:val="24"/>
        </w:rPr>
        <w:t xml:space="preserve"> έστω και από μια στοιχειώδη μορφή ευρωομολόγου που, μάλλον, φαίνεται ολοένα και περισσότερο αναγκαίο για την υπεράσπιση της </w:t>
      </w:r>
      <w:r w:rsidR="008159AD">
        <w:rPr>
          <w:rFonts w:ascii="Bookman Old Style" w:hAnsi="Bookman Old Style"/>
          <w:sz w:val="24"/>
          <w:szCs w:val="24"/>
        </w:rPr>
        <w:t>Ευρωζώνης</w:t>
      </w:r>
      <w:r w:rsidRPr="00695D4B">
        <w:rPr>
          <w:rFonts w:ascii="Bookman Old Style" w:hAnsi="Bookman Old Style"/>
          <w:sz w:val="24"/>
          <w:szCs w:val="24"/>
        </w:rPr>
        <w:t xml:space="preserve"> μπροστά στις διαφαινόμενες μεγάλες προκλήσεις οι οποίες την απειλούν</w:t>
      </w:r>
      <w:r w:rsidR="008159AD">
        <w:rPr>
          <w:rFonts w:ascii="Bookman Old Style" w:hAnsi="Bookman Old Style"/>
          <w:sz w:val="24"/>
          <w:szCs w:val="24"/>
        </w:rPr>
        <w:t xml:space="preserve"> όπως</w:t>
      </w:r>
      <w:r w:rsidR="009B64D2">
        <w:rPr>
          <w:rFonts w:ascii="Bookman Old Style" w:hAnsi="Bookman Old Style"/>
          <w:sz w:val="24"/>
          <w:szCs w:val="24"/>
        </w:rPr>
        <w:t>,</w:t>
      </w:r>
      <w:r w:rsidR="008159AD">
        <w:rPr>
          <w:rFonts w:ascii="Bookman Old Style" w:hAnsi="Bookman Old Style"/>
          <w:sz w:val="24"/>
          <w:szCs w:val="24"/>
        </w:rPr>
        <w:t xml:space="preserve"> </w:t>
      </w:r>
      <w:r w:rsidR="008159AD">
        <w:rPr>
          <w:rFonts w:ascii="Bookman Old Style" w:hAnsi="Bookman Old Style"/>
          <w:sz w:val="24"/>
          <w:szCs w:val="24"/>
          <w:lang w:val="en-US"/>
        </w:rPr>
        <w:t>a</w:t>
      </w:r>
      <w:r w:rsidR="008159AD" w:rsidRPr="008159AD">
        <w:rPr>
          <w:rFonts w:ascii="Bookman Old Style" w:hAnsi="Bookman Old Style"/>
          <w:sz w:val="24"/>
          <w:szCs w:val="24"/>
        </w:rPr>
        <w:t xml:space="preserve"> </w:t>
      </w:r>
      <w:r w:rsidR="008159AD">
        <w:rPr>
          <w:rFonts w:ascii="Bookman Old Style" w:hAnsi="Bookman Old Style"/>
          <w:sz w:val="24"/>
          <w:szCs w:val="24"/>
          <w:lang w:val="en-US"/>
        </w:rPr>
        <w:t>fortiori</w:t>
      </w:r>
      <w:r w:rsidR="008159AD">
        <w:rPr>
          <w:rFonts w:ascii="Bookman Old Style" w:hAnsi="Bookman Old Style"/>
          <w:sz w:val="24"/>
          <w:szCs w:val="24"/>
        </w:rPr>
        <w:t xml:space="preserve">, αποδεικνύει και η οικονομική κρίση λόγω της πανδημίας του </w:t>
      </w:r>
      <w:r w:rsidR="008159AD">
        <w:rPr>
          <w:rFonts w:ascii="Bookman Old Style" w:hAnsi="Bookman Old Style"/>
          <w:sz w:val="24"/>
          <w:szCs w:val="24"/>
          <w:lang w:val="en-US"/>
        </w:rPr>
        <w:t>Covid</w:t>
      </w:r>
      <w:r w:rsidR="008159AD" w:rsidRPr="008159AD">
        <w:rPr>
          <w:rFonts w:ascii="Bookman Old Style" w:hAnsi="Bookman Old Style"/>
          <w:sz w:val="24"/>
          <w:szCs w:val="24"/>
        </w:rPr>
        <w:t>-19</w:t>
      </w:r>
      <w:r w:rsidRPr="00695D4B">
        <w:rPr>
          <w:rFonts w:ascii="Bookman Old Style" w:hAnsi="Bookman Old Style"/>
          <w:sz w:val="24"/>
          <w:szCs w:val="24"/>
        </w:rPr>
        <w:t>- σε συνδυασμό με τους κατά τ’ ανωτέρω αυστηρούς περιορισμούς κατά την εφαρμογή του, υπον</w:t>
      </w:r>
      <w:r w:rsidR="00CE42E4">
        <w:rPr>
          <w:rFonts w:ascii="Bookman Old Style" w:hAnsi="Bookman Old Style"/>
          <w:sz w:val="24"/>
          <w:szCs w:val="24"/>
        </w:rPr>
        <w:t>όμευαν</w:t>
      </w:r>
      <w:r w:rsidR="009B64D2">
        <w:rPr>
          <w:rFonts w:ascii="Bookman Old Style" w:hAnsi="Bookman Old Style"/>
          <w:sz w:val="24"/>
          <w:szCs w:val="24"/>
        </w:rPr>
        <w:t>,</w:t>
      </w:r>
      <w:r w:rsidRPr="00695D4B">
        <w:rPr>
          <w:rFonts w:ascii="Bookman Old Style" w:hAnsi="Bookman Old Style"/>
          <w:sz w:val="24"/>
          <w:szCs w:val="24"/>
        </w:rPr>
        <w:t xml:space="preserve"> </w:t>
      </w:r>
      <w:r w:rsidR="00EA2D5C">
        <w:rPr>
          <w:rFonts w:ascii="Bookman Old Style" w:hAnsi="Bookman Old Style"/>
          <w:sz w:val="24"/>
          <w:szCs w:val="24"/>
          <w:lang w:val="en-US"/>
        </w:rPr>
        <w:t>ab</w:t>
      </w:r>
      <w:r w:rsidR="00EA2D5C" w:rsidRPr="00EA2D5C">
        <w:rPr>
          <w:rFonts w:ascii="Bookman Old Style" w:hAnsi="Bookman Old Style"/>
          <w:sz w:val="24"/>
          <w:szCs w:val="24"/>
        </w:rPr>
        <w:t xml:space="preserve"> </w:t>
      </w:r>
      <w:r w:rsidR="00EA2D5C">
        <w:rPr>
          <w:rFonts w:ascii="Bookman Old Style" w:hAnsi="Bookman Old Style"/>
          <w:sz w:val="24"/>
          <w:szCs w:val="24"/>
          <w:lang w:val="en-US"/>
        </w:rPr>
        <w:t>initio</w:t>
      </w:r>
      <w:r w:rsidRPr="00695D4B">
        <w:rPr>
          <w:rFonts w:ascii="Bookman Old Style" w:hAnsi="Bookman Old Style"/>
          <w:sz w:val="24"/>
          <w:szCs w:val="24"/>
        </w:rPr>
        <w:t>, την χρησιμότητά του ενόψει της τρέχουσας αλλά και της μελλοντικής συγκυρίας κρίσης χρέους.  Μ</w:t>
      </w:r>
      <w:r w:rsidR="009B64D2">
        <w:rPr>
          <w:rFonts w:ascii="Bookman Old Style" w:hAnsi="Bookman Old Style"/>
          <w:sz w:val="24"/>
          <w:szCs w:val="24"/>
        </w:rPr>
        <w:t>ε</w:t>
      </w:r>
      <w:r w:rsidRPr="00695D4B">
        <w:rPr>
          <w:rFonts w:ascii="Bookman Old Style" w:hAnsi="Bookman Old Style"/>
          <w:sz w:val="24"/>
          <w:szCs w:val="24"/>
        </w:rPr>
        <w:t xml:space="preserve"> απλές λέξεις φαίνεται, και δη «δια γυμνού οφθαλμού»,   ουτοπικό να </w:t>
      </w:r>
      <w:r w:rsidR="009B64D2">
        <w:rPr>
          <w:rFonts w:ascii="Bookman Old Style" w:hAnsi="Bookman Old Style"/>
          <w:sz w:val="24"/>
          <w:szCs w:val="24"/>
        </w:rPr>
        <w:lastRenderedPageBreak/>
        <w:t>περίμενε</w:t>
      </w:r>
      <w:r w:rsidRPr="00695D4B">
        <w:rPr>
          <w:rFonts w:ascii="Bookman Old Style" w:hAnsi="Bookman Old Style"/>
          <w:sz w:val="24"/>
          <w:szCs w:val="24"/>
        </w:rPr>
        <w:t xml:space="preserve"> κανείς ότι, μ</w:t>
      </w:r>
      <w:r w:rsidR="00CE42E4">
        <w:rPr>
          <w:rFonts w:ascii="Bookman Old Style" w:hAnsi="Bookman Old Style"/>
          <w:sz w:val="24"/>
          <w:szCs w:val="24"/>
        </w:rPr>
        <w:t>ε</w:t>
      </w:r>
      <w:r w:rsidRPr="00695D4B">
        <w:rPr>
          <w:rFonts w:ascii="Bookman Old Style" w:hAnsi="Bookman Old Style"/>
          <w:sz w:val="24"/>
          <w:szCs w:val="24"/>
        </w:rPr>
        <w:t xml:space="preserve"> αυτή την μορφή, το πρόγραμμα </w:t>
      </w:r>
      <w:r w:rsidR="00EA2D5C">
        <w:rPr>
          <w:rFonts w:ascii="Bookman Old Style" w:hAnsi="Bookman Old Style"/>
          <w:sz w:val="24"/>
          <w:szCs w:val="24"/>
        </w:rPr>
        <w:t>«</w:t>
      </w:r>
      <w:r w:rsidRPr="00695D4B">
        <w:rPr>
          <w:rFonts w:ascii="Bookman Old Style" w:hAnsi="Bookman Old Style"/>
          <w:sz w:val="24"/>
          <w:szCs w:val="24"/>
        </w:rPr>
        <w:t>ΟΜΤ</w:t>
      </w:r>
      <w:r w:rsidR="00EA2D5C">
        <w:rPr>
          <w:rFonts w:ascii="Bookman Old Style" w:hAnsi="Bookman Old Style"/>
          <w:sz w:val="24"/>
          <w:szCs w:val="24"/>
        </w:rPr>
        <w:t>»</w:t>
      </w:r>
      <w:r w:rsidRPr="00695D4B">
        <w:rPr>
          <w:rFonts w:ascii="Bookman Old Style" w:hAnsi="Bookman Old Style"/>
          <w:sz w:val="24"/>
          <w:szCs w:val="24"/>
        </w:rPr>
        <w:t xml:space="preserve"> </w:t>
      </w:r>
      <w:r w:rsidR="00EA2D5C">
        <w:rPr>
          <w:rFonts w:ascii="Bookman Old Style" w:hAnsi="Bookman Old Style"/>
          <w:sz w:val="24"/>
          <w:szCs w:val="24"/>
        </w:rPr>
        <w:t>ήταν</w:t>
      </w:r>
      <w:r w:rsidRPr="00695D4B">
        <w:rPr>
          <w:rFonts w:ascii="Bookman Old Style" w:hAnsi="Bookman Old Style"/>
          <w:sz w:val="24"/>
          <w:szCs w:val="24"/>
        </w:rPr>
        <w:t xml:space="preserve"> σε θέση ν’ αντιμετωπίσει αποτελεσματικώς την υπάρχουσα –και διαρκώς διογκούμενη- κρίση χρέους εντός της </w:t>
      </w:r>
      <w:r w:rsidR="00EA2D5C">
        <w:rPr>
          <w:rFonts w:ascii="Bookman Old Style" w:hAnsi="Bookman Old Style"/>
          <w:sz w:val="24"/>
          <w:szCs w:val="24"/>
        </w:rPr>
        <w:t>Ευρωζώνης</w:t>
      </w:r>
      <w:r w:rsidRPr="00695D4B">
        <w:rPr>
          <w:rFonts w:ascii="Bookman Old Style" w:hAnsi="Bookman Old Style"/>
          <w:sz w:val="24"/>
          <w:szCs w:val="24"/>
        </w:rPr>
        <w:t xml:space="preserve"> καθώς και τις πολλαπλές αρνητικές προεκτάσεις της.  </w:t>
      </w:r>
    </w:p>
    <w:p w:rsidR="008B31B8" w:rsidRDefault="008B31B8" w:rsidP="00303AFA">
      <w:pPr>
        <w:pStyle w:val="a3"/>
        <w:spacing w:before="240" w:after="240" w:line="360" w:lineRule="auto"/>
        <w:ind w:left="284" w:hanging="284"/>
        <w:contextualSpacing w:val="0"/>
        <w:jc w:val="both"/>
        <w:rPr>
          <w:rFonts w:ascii="Bookman Old Style" w:hAnsi="Bookman Old Style"/>
          <w:b/>
          <w:sz w:val="24"/>
          <w:szCs w:val="24"/>
        </w:rPr>
      </w:pPr>
      <w:r>
        <w:rPr>
          <w:rFonts w:ascii="Bookman Old Style" w:hAnsi="Bookman Old Style"/>
          <w:b/>
          <w:sz w:val="24"/>
          <w:szCs w:val="24"/>
        </w:rPr>
        <w:t xml:space="preserve">ΙΙ. Η κατάληξη: Οι </w:t>
      </w:r>
      <w:r w:rsidR="00EA2D5C">
        <w:rPr>
          <w:rFonts w:ascii="Bookman Old Style" w:hAnsi="Bookman Old Style"/>
          <w:b/>
          <w:sz w:val="24"/>
          <w:szCs w:val="24"/>
        </w:rPr>
        <w:t>εμφανείς</w:t>
      </w:r>
      <w:r>
        <w:rPr>
          <w:rFonts w:ascii="Bookman Old Style" w:hAnsi="Bookman Old Style"/>
          <w:b/>
          <w:sz w:val="24"/>
          <w:szCs w:val="24"/>
        </w:rPr>
        <w:t xml:space="preserve"> προθέσεις της απόφασης του Ομοσπονδιακού Συνταγματικού Δικαστηρίου της Γερμανίας της 21</w:t>
      </w:r>
      <w:r w:rsidRPr="008B31B8">
        <w:rPr>
          <w:rFonts w:ascii="Bookman Old Style" w:hAnsi="Bookman Old Style"/>
          <w:b/>
          <w:sz w:val="24"/>
          <w:szCs w:val="24"/>
          <w:vertAlign w:val="superscript"/>
        </w:rPr>
        <w:t>ης</w:t>
      </w:r>
      <w:r>
        <w:rPr>
          <w:rFonts w:ascii="Bookman Old Style" w:hAnsi="Bookman Old Style"/>
          <w:b/>
          <w:sz w:val="24"/>
          <w:szCs w:val="24"/>
        </w:rPr>
        <w:t xml:space="preserve"> Ιουνίου 2016. </w:t>
      </w:r>
    </w:p>
    <w:p w:rsidR="00F2269A" w:rsidRPr="00FE5CA3" w:rsidRDefault="008B31B8" w:rsidP="00303AFA">
      <w:pPr>
        <w:autoSpaceDE w:val="0"/>
        <w:autoSpaceDN w:val="0"/>
        <w:adjustRightInd w:val="0"/>
        <w:spacing w:before="240" w:line="360" w:lineRule="auto"/>
        <w:jc w:val="both"/>
        <w:rPr>
          <w:rFonts w:ascii="Bookman Old Style" w:hAnsi="Bookman Old Style" w:cs="TimesNewRomanPSMT"/>
          <w:sz w:val="24"/>
          <w:szCs w:val="24"/>
        </w:rPr>
      </w:pPr>
      <w:r>
        <w:rPr>
          <w:rFonts w:ascii="Bookman Old Style" w:hAnsi="Bookman Old Style"/>
          <w:sz w:val="24"/>
          <w:szCs w:val="24"/>
        </w:rPr>
        <w:t>Τ</w:t>
      </w:r>
      <w:r w:rsidR="00AC3294">
        <w:rPr>
          <w:rFonts w:ascii="Bookman Old Style" w:hAnsi="Bookman Old Style"/>
          <w:sz w:val="24"/>
          <w:szCs w:val="24"/>
        </w:rPr>
        <w:t>έ</w:t>
      </w:r>
      <w:r>
        <w:rPr>
          <w:rFonts w:ascii="Bookman Old Style" w:hAnsi="Bookman Old Style"/>
          <w:sz w:val="24"/>
          <w:szCs w:val="24"/>
        </w:rPr>
        <w:t>σσερα χρόνια μετά, το Ομοσπονδιακό Συνταγματικό Δικαστήριο της Γερμανίας κατέστησε σαφείς τις προθέσεις του εκείνες, τις οποίες είχε, κατά τα προλεχθέντα, προοιωνισθεί η νομολογία του, και πάλι ύστερα από προδικαστικό ερώτημ</w:t>
      </w:r>
      <w:r w:rsidR="00EA2D5C">
        <w:rPr>
          <w:rFonts w:ascii="Bookman Old Style" w:hAnsi="Bookman Old Style"/>
          <w:sz w:val="24"/>
          <w:szCs w:val="24"/>
        </w:rPr>
        <w:t>ά του</w:t>
      </w:r>
      <w:r>
        <w:rPr>
          <w:rFonts w:ascii="Bookman Old Style" w:hAnsi="Bookman Old Style"/>
          <w:sz w:val="24"/>
          <w:szCs w:val="24"/>
        </w:rPr>
        <w:t xml:space="preserve"> προς το ΔΕΕ.  Συγκεκριμένα, </w:t>
      </w:r>
      <w:r w:rsidR="00F2269A" w:rsidRPr="00FE5CA3">
        <w:rPr>
          <w:rFonts w:ascii="Bookman Old Style" w:hAnsi="Bookman Old Style" w:cs="TimesNewRomanPSMT"/>
          <w:sz w:val="24"/>
          <w:szCs w:val="24"/>
        </w:rPr>
        <w:t>με την απόφαση της 5ης Μαΐου 2020</w:t>
      </w:r>
      <w:r w:rsidR="009B64D2">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το Ομοσπονδιακό Συνταγματικό Δικαστήριο της Γερμανίας έκανε δεκτές ατομικές συνταγματικές προσφυγές κατά του προγράμματος αγοράς ομολόγων του κρατικού τομέα (</w:t>
      </w:r>
      <w:r w:rsidR="002806FA">
        <w:rPr>
          <w:rFonts w:ascii="Bookman Old Style" w:hAnsi="Bookman Old Style" w:cs="TimesNewRomanPSMT"/>
          <w:sz w:val="24"/>
          <w:szCs w:val="24"/>
        </w:rPr>
        <w:t>«</w:t>
      </w:r>
      <w:r w:rsidR="00F2269A" w:rsidRPr="00FE5CA3">
        <w:rPr>
          <w:rFonts w:ascii="Bookman Old Style" w:hAnsi="Bookman Old Style" w:cs="TimesNewRomanPSMT"/>
          <w:sz w:val="24"/>
          <w:szCs w:val="24"/>
          <w:lang w:val="en-US"/>
        </w:rPr>
        <w:t>Public</w:t>
      </w:r>
      <w:r w:rsidR="00F2269A" w:rsidRPr="00FE5CA3">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lang w:val="en-US"/>
        </w:rPr>
        <w:t>Sector</w:t>
      </w:r>
      <w:r w:rsidR="00F2269A" w:rsidRPr="00FE5CA3">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lang w:val="en-US"/>
        </w:rPr>
        <w:t>Purchase</w:t>
      </w:r>
      <w:r w:rsidR="00F2269A" w:rsidRPr="00FE5CA3">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lang w:val="en-US"/>
        </w:rPr>
        <w:t>Programme</w:t>
      </w:r>
      <w:r w:rsidR="00F2269A" w:rsidRPr="00FE5CA3">
        <w:rPr>
          <w:rFonts w:ascii="Bookman Old Style" w:hAnsi="Bookman Old Style" w:cs="TimesNewRomanPSMT"/>
          <w:sz w:val="24"/>
          <w:szCs w:val="24"/>
        </w:rPr>
        <w:t xml:space="preserve"> – </w:t>
      </w:r>
      <w:r w:rsidR="00F2269A" w:rsidRPr="00FE5CA3">
        <w:rPr>
          <w:rFonts w:ascii="Bookman Old Style" w:hAnsi="Bookman Old Style" w:cs="TimesNewRomanPSMT"/>
          <w:sz w:val="24"/>
          <w:szCs w:val="24"/>
          <w:lang w:val="en-US"/>
        </w:rPr>
        <w:t>PSPP</w:t>
      </w:r>
      <w:r w:rsidR="00AE7A1A">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w:t>
      </w:r>
      <w:r w:rsidR="00AE7A1A">
        <w:rPr>
          <w:rFonts w:ascii="Bookman Old Style" w:hAnsi="Bookman Old Style" w:cs="TimesNewRomanPSMT"/>
          <w:sz w:val="24"/>
          <w:szCs w:val="24"/>
        </w:rPr>
        <w:t>Έκρινε δε</w:t>
      </w:r>
      <w:r w:rsidR="00F2269A" w:rsidRPr="00FE5CA3">
        <w:rPr>
          <w:rFonts w:ascii="Bookman Old Style" w:hAnsi="Bookman Old Style" w:cs="TimesNewRomanPSMT"/>
          <w:sz w:val="24"/>
          <w:szCs w:val="24"/>
        </w:rPr>
        <w:t xml:space="preserve"> ότι η Κυβέρνηση της Ομοσπονδιακής Δημοκρατίας της Γερμανίας και το Γερμανικό Ομοσπονδιακό Κοινοβούλιο (Bundestag) προσέβαλαν το δικαίωμα των θιγ</w:t>
      </w:r>
      <w:r w:rsidR="00AE7A1A">
        <w:rPr>
          <w:rFonts w:ascii="Bookman Old Style" w:hAnsi="Bookman Old Style" w:cs="TimesNewRomanPSMT"/>
          <w:sz w:val="24"/>
          <w:szCs w:val="24"/>
        </w:rPr>
        <w:t>όμε</w:t>
      </w:r>
      <w:r w:rsidR="00F2269A" w:rsidRPr="00FE5CA3">
        <w:rPr>
          <w:rFonts w:ascii="Bookman Old Style" w:hAnsi="Bookman Old Style" w:cs="TimesNewRomanPSMT"/>
          <w:sz w:val="24"/>
          <w:szCs w:val="24"/>
        </w:rPr>
        <w:t>νων πολιτών</w:t>
      </w:r>
      <w:r w:rsidR="00544A96">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που απορρέει από </w:t>
      </w:r>
      <w:r w:rsidR="00AE7A1A">
        <w:rPr>
          <w:rFonts w:ascii="Bookman Old Style" w:hAnsi="Bookman Old Style" w:cs="TimesNewRomanPSMT"/>
          <w:sz w:val="24"/>
          <w:szCs w:val="24"/>
        </w:rPr>
        <w:t xml:space="preserve">τις διατάξεις </w:t>
      </w:r>
      <w:r w:rsidR="00F2269A" w:rsidRPr="00FE5CA3">
        <w:rPr>
          <w:rFonts w:ascii="Bookman Old Style" w:hAnsi="Bookman Old Style" w:cs="TimesNewRomanPSMT"/>
          <w:sz w:val="24"/>
          <w:szCs w:val="24"/>
        </w:rPr>
        <w:t>το</w:t>
      </w:r>
      <w:r w:rsidR="00AE7A1A">
        <w:rPr>
          <w:rFonts w:ascii="Bookman Old Style" w:hAnsi="Bookman Old Style" w:cs="TimesNewRomanPSMT"/>
          <w:sz w:val="24"/>
          <w:szCs w:val="24"/>
        </w:rPr>
        <w:t>υ</w:t>
      </w:r>
      <w:r w:rsidR="00F2269A" w:rsidRPr="00FE5CA3">
        <w:rPr>
          <w:rFonts w:ascii="Bookman Old Style" w:hAnsi="Bookman Old Style" w:cs="TimesNewRomanPSMT"/>
          <w:sz w:val="24"/>
          <w:szCs w:val="24"/>
        </w:rPr>
        <w:t xml:space="preserve"> άρθρο</w:t>
      </w:r>
      <w:r w:rsidR="00AE7A1A">
        <w:rPr>
          <w:rFonts w:ascii="Bookman Old Style" w:hAnsi="Bookman Old Style" w:cs="TimesNewRomanPSMT"/>
          <w:sz w:val="24"/>
          <w:szCs w:val="24"/>
        </w:rPr>
        <w:t>υ</w:t>
      </w:r>
      <w:r w:rsidR="00F2269A" w:rsidRPr="00FE5CA3">
        <w:rPr>
          <w:rFonts w:ascii="Bookman Old Style" w:hAnsi="Bookman Old Style" w:cs="TimesNewRomanPSMT"/>
          <w:sz w:val="24"/>
          <w:szCs w:val="24"/>
        </w:rPr>
        <w:t xml:space="preserve"> 38 του </w:t>
      </w:r>
      <w:r w:rsidR="00CF0652">
        <w:rPr>
          <w:rFonts w:ascii="Bookman Old Style" w:hAnsi="Bookman Old Style" w:cs="TimesNewRomanPSMT"/>
          <w:sz w:val="24"/>
          <w:szCs w:val="24"/>
        </w:rPr>
        <w:t>Ο</w:t>
      </w:r>
      <w:r w:rsidR="00F2269A" w:rsidRPr="00FE5CA3">
        <w:rPr>
          <w:rFonts w:ascii="Bookman Old Style" w:hAnsi="Bookman Old Style" w:cs="TimesNewRomanPSMT"/>
          <w:sz w:val="24"/>
          <w:szCs w:val="24"/>
        </w:rPr>
        <w:t xml:space="preserve">μοσπονδιακού Συντάγματος </w:t>
      </w:r>
      <w:r w:rsidR="00AE7A1A">
        <w:rPr>
          <w:rFonts w:ascii="Bookman Old Style" w:hAnsi="Bookman Old Style" w:cs="TimesNewRomanPSMT"/>
          <w:sz w:val="24"/>
          <w:szCs w:val="24"/>
        </w:rPr>
        <w:t>-</w:t>
      </w:r>
      <w:r w:rsidR="00F2269A" w:rsidRPr="00FE5CA3">
        <w:rPr>
          <w:rFonts w:ascii="Bookman Old Style" w:hAnsi="Bookman Old Style" w:cs="TimesNewRomanPSMT"/>
          <w:sz w:val="24"/>
          <w:szCs w:val="24"/>
        </w:rPr>
        <w:t>δικαίωμα ψήφο</w:t>
      </w:r>
      <w:r w:rsidR="000052B1">
        <w:rPr>
          <w:rFonts w:ascii="Bookman Old Style" w:hAnsi="Bookman Old Style" w:cs="TimesNewRomanPSMT"/>
          <w:sz w:val="24"/>
          <w:szCs w:val="24"/>
        </w:rPr>
        <w:t>υ</w:t>
      </w:r>
      <w:r w:rsidR="00AE7A1A">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σε συνδυασμό με </w:t>
      </w:r>
      <w:r w:rsidR="00AE7A1A">
        <w:rPr>
          <w:rFonts w:ascii="Bookman Old Style" w:hAnsi="Bookman Old Style" w:cs="TimesNewRomanPSMT"/>
          <w:sz w:val="24"/>
          <w:szCs w:val="24"/>
        </w:rPr>
        <w:t xml:space="preserve">τις διατάξεις των </w:t>
      </w:r>
      <w:r w:rsidR="00F2269A" w:rsidRPr="00FE5CA3">
        <w:rPr>
          <w:rFonts w:ascii="Bookman Old Style" w:hAnsi="Bookman Old Style" w:cs="TimesNewRomanPSMT"/>
          <w:sz w:val="24"/>
          <w:szCs w:val="24"/>
        </w:rPr>
        <w:t>άρθρ</w:t>
      </w:r>
      <w:r w:rsidR="00AE7A1A">
        <w:rPr>
          <w:rFonts w:ascii="Bookman Old Style" w:hAnsi="Bookman Old Style" w:cs="TimesNewRomanPSMT"/>
          <w:sz w:val="24"/>
          <w:szCs w:val="24"/>
        </w:rPr>
        <w:t>ων</w:t>
      </w:r>
      <w:r w:rsidR="00F2269A" w:rsidRPr="00FE5CA3">
        <w:rPr>
          <w:rFonts w:ascii="Bookman Old Style" w:hAnsi="Bookman Old Style" w:cs="TimesNewRomanPSMT"/>
          <w:sz w:val="24"/>
          <w:szCs w:val="24"/>
        </w:rPr>
        <w:t xml:space="preserve"> 20 παρ.</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1 και 2 </w:t>
      </w:r>
      <w:r w:rsidR="00AE7A1A">
        <w:rPr>
          <w:rFonts w:ascii="Bookman Old Style" w:hAnsi="Bookman Old Style" w:cs="TimesNewRomanPSMT"/>
          <w:sz w:val="24"/>
          <w:szCs w:val="24"/>
        </w:rPr>
        <w:t>-</w:t>
      </w:r>
      <w:r w:rsidR="000052B1">
        <w:rPr>
          <w:rFonts w:ascii="Bookman Old Style" w:hAnsi="Bookman Old Style" w:cs="TimesNewRomanPSMT"/>
          <w:sz w:val="24"/>
          <w:szCs w:val="24"/>
        </w:rPr>
        <w:t>Δ</w:t>
      </w:r>
      <w:r w:rsidR="00F2269A" w:rsidRPr="00FE5CA3">
        <w:rPr>
          <w:rFonts w:ascii="Bookman Old Style" w:hAnsi="Bookman Old Style" w:cs="TimesNewRomanPSMT"/>
          <w:sz w:val="24"/>
          <w:szCs w:val="24"/>
        </w:rPr>
        <w:t xml:space="preserve">ημοκρατική </w:t>
      </w:r>
      <w:r w:rsidR="000052B1">
        <w:rPr>
          <w:rFonts w:ascii="Bookman Old Style" w:hAnsi="Bookman Old Style" w:cs="TimesNewRomanPSMT"/>
          <w:sz w:val="24"/>
          <w:szCs w:val="24"/>
        </w:rPr>
        <w:t>Α</w:t>
      </w:r>
      <w:r w:rsidR="00F2269A" w:rsidRPr="00FE5CA3">
        <w:rPr>
          <w:rFonts w:ascii="Bookman Old Style" w:hAnsi="Bookman Old Style" w:cs="TimesNewRomanPSMT"/>
          <w:sz w:val="24"/>
          <w:szCs w:val="24"/>
        </w:rPr>
        <w:t>ρχή</w:t>
      </w:r>
      <w:r w:rsidR="00AE7A1A">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και 70 παρ. 3</w:t>
      </w:r>
      <w:r w:rsidR="00AE7A1A">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w:t>
      </w:r>
      <w:r w:rsidR="00AE7A1A">
        <w:rPr>
          <w:rFonts w:ascii="Bookman Old Style" w:hAnsi="Bookman Old Style" w:cs="TimesNewRomanPSMT"/>
          <w:sz w:val="24"/>
          <w:szCs w:val="24"/>
        </w:rPr>
        <w:t xml:space="preserve">με την παράλειψή </w:t>
      </w:r>
      <w:r w:rsidR="00F2269A" w:rsidRPr="00FE5CA3">
        <w:rPr>
          <w:rFonts w:ascii="Bookman Old Style" w:hAnsi="Bookman Old Style" w:cs="TimesNewRomanPSMT"/>
          <w:sz w:val="24"/>
          <w:szCs w:val="24"/>
        </w:rPr>
        <w:t>τους να προβούν σ</w:t>
      </w:r>
      <w:r w:rsidR="00AE7A1A">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ενέργειες κατά του ότι η Ευρωπαϊκή Κεντρική Τράπεζα </w:t>
      </w:r>
      <w:r w:rsidR="00F2269A" w:rsidRPr="00FE5CA3">
        <w:rPr>
          <w:rFonts w:ascii="Bookman Old Style" w:hAnsi="Bookman Old Style" w:cs="TimesNewRomanPS-ItalicMT"/>
          <w:i/>
          <w:iCs/>
          <w:sz w:val="24"/>
          <w:szCs w:val="24"/>
        </w:rPr>
        <w:t xml:space="preserve">δεν ήλεγξε αν </w:t>
      </w:r>
      <w:r w:rsidR="00F2269A" w:rsidRPr="00FE5CA3">
        <w:rPr>
          <w:rFonts w:ascii="Bookman Old Style" w:hAnsi="Bookman Old Style" w:cs="TimesNewRomanPSMT"/>
          <w:sz w:val="24"/>
          <w:szCs w:val="24"/>
        </w:rPr>
        <w:t xml:space="preserve">και </w:t>
      </w:r>
      <w:r w:rsidR="00F2269A" w:rsidRPr="00FE5CA3">
        <w:rPr>
          <w:rFonts w:ascii="Bookman Old Style" w:hAnsi="Bookman Old Style" w:cs="TimesNewRomanPS-ItalicMT"/>
          <w:i/>
          <w:iCs/>
          <w:sz w:val="24"/>
          <w:szCs w:val="24"/>
        </w:rPr>
        <w:t xml:space="preserve">δεν απέδειξε ότι </w:t>
      </w:r>
      <w:r w:rsidR="00F2269A" w:rsidRPr="00FE5CA3">
        <w:rPr>
          <w:rFonts w:ascii="Bookman Old Style" w:hAnsi="Bookman Old Style" w:cs="TimesNewRomanPSMT"/>
          <w:sz w:val="24"/>
          <w:szCs w:val="24"/>
        </w:rPr>
        <w:t>τα επιμέρους μέτρα που έλαβε</w:t>
      </w:r>
      <w:r w:rsidR="00AE7A1A">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στο πλαίσιο των αποφάσεών της για την υιοθέτηση και εφαρμογή του </w:t>
      </w:r>
      <w:r w:rsidR="00AE7A1A">
        <w:rPr>
          <w:rFonts w:ascii="Bookman Old Style" w:hAnsi="Bookman Old Style" w:cs="TimesNewRomanPSMT"/>
          <w:sz w:val="24"/>
          <w:szCs w:val="24"/>
        </w:rPr>
        <w:t>«</w:t>
      </w:r>
      <w:r w:rsidR="00F2269A" w:rsidRPr="00FE5CA3">
        <w:rPr>
          <w:rFonts w:ascii="Bookman Old Style" w:hAnsi="Bookman Old Style" w:cs="TimesNewRomanPSMT"/>
          <w:sz w:val="24"/>
          <w:szCs w:val="24"/>
        </w:rPr>
        <w:t>PSPP</w:t>
      </w:r>
      <w:r w:rsidR="00AE7A1A">
        <w:rPr>
          <w:rFonts w:ascii="Bookman Old Style" w:hAnsi="Bookman Old Style" w:cs="TimesNewRomanPSMT"/>
          <w:sz w:val="24"/>
          <w:szCs w:val="24"/>
        </w:rPr>
        <w:t>»</w:t>
      </w:r>
      <w:r w:rsidR="000052B1">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είναι σύμφωνα</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με την αρχή της αναλογικότητας. </w:t>
      </w:r>
      <w:r w:rsidR="00AE7A1A">
        <w:rPr>
          <w:rFonts w:ascii="Bookman Old Style" w:hAnsi="Bookman Old Style" w:cs="TimesNewRomanPSMT"/>
          <w:sz w:val="24"/>
          <w:szCs w:val="24"/>
        </w:rPr>
        <w:t xml:space="preserve">Κατά το </w:t>
      </w:r>
      <w:r w:rsidR="00F2269A">
        <w:rPr>
          <w:rFonts w:ascii="Bookman Old Style" w:hAnsi="Bookman Old Style" w:cs="TimesNewRomanPSMT"/>
          <w:sz w:val="24"/>
          <w:szCs w:val="24"/>
        </w:rPr>
        <w:t>Ομοσπονδιακ</w:t>
      </w:r>
      <w:r w:rsidR="00AE7A1A">
        <w:rPr>
          <w:rFonts w:ascii="Bookman Old Style" w:hAnsi="Bookman Old Style" w:cs="TimesNewRomanPSMT"/>
          <w:sz w:val="24"/>
          <w:szCs w:val="24"/>
        </w:rPr>
        <w:t>ό</w:t>
      </w:r>
      <w:r w:rsidR="00F2269A">
        <w:rPr>
          <w:rFonts w:ascii="Bookman Old Style" w:hAnsi="Bookman Old Style" w:cs="TimesNewRomanPSMT"/>
          <w:sz w:val="24"/>
          <w:szCs w:val="24"/>
        </w:rPr>
        <w:t xml:space="preserve"> Συνταγματικ</w:t>
      </w:r>
      <w:r w:rsidR="00AE7A1A">
        <w:rPr>
          <w:rFonts w:ascii="Bookman Old Style" w:hAnsi="Bookman Old Style" w:cs="TimesNewRomanPSMT"/>
          <w:sz w:val="24"/>
          <w:szCs w:val="24"/>
        </w:rPr>
        <w:t>ό</w:t>
      </w:r>
      <w:r w:rsidR="00F2269A">
        <w:rPr>
          <w:rFonts w:ascii="Bookman Old Style" w:hAnsi="Bookman Old Style" w:cs="TimesNewRomanPSMT"/>
          <w:sz w:val="24"/>
          <w:szCs w:val="24"/>
        </w:rPr>
        <w:t xml:space="preserve"> Δικαστ</w:t>
      </w:r>
      <w:r w:rsidR="00AE7A1A">
        <w:rPr>
          <w:rFonts w:ascii="Bookman Old Style" w:hAnsi="Bookman Old Style" w:cs="TimesNewRomanPSMT"/>
          <w:sz w:val="24"/>
          <w:szCs w:val="24"/>
        </w:rPr>
        <w:t>ήριο</w:t>
      </w:r>
      <w:r w:rsidR="00F2269A">
        <w:rPr>
          <w:rFonts w:ascii="Bookman Old Style" w:hAnsi="Bookman Old Style" w:cs="TimesNewRomanPSMT"/>
          <w:sz w:val="24"/>
          <w:szCs w:val="24"/>
        </w:rPr>
        <w:t xml:space="preserve"> της Γερμανίας</w:t>
      </w:r>
      <w:r w:rsidR="00AE7A1A">
        <w:rPr>
          <w:rFonts w:ascii="Bookman Old Style" w:hAnsi="Bookman Old Style" w:cs="TimesNewRomanPSMT"/>
          <w:sz w:val="24"/>
          <w:szCs w:val="24"/>
        </w:rPr>
        <w:t>, η κρίση αυτή</w:t>
      </w:r>
      <w:r w:rsidR="00F2269A" w:rsidRPr="00FE5CA3">
        <w:rPr>
          <w:rFonts w:ascii="Bookman Old Style" w:hAnsi="Bookman Old Style" w:cs="TimesNewRomanPSMT"/>
          <w:sz w:val="24"/>
          <w:szCs w:val="24"/>
        </w:rPr>
        <w:t xml:space="preserve"> δεν αντίκειται στην απόφαση του</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ΔΕΕ της 11ης Δεκεμβρίου 2018, καθώς η εν λόγω</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απόφαση δεν είναι νομικ</w:t>
      </w:r>
      <w:r w:rsidR="00AE7A1A">
        <w:rPr>
          <w:rFonts w:ascii="Bookman Old Style" w:hAnsi="Bookman Old Style" w:cs="TimesNewRomanPSMT"/>
          <w:sz w:val="24"/>
          <w:szCs w:val="24"/>
        </w:rPr>
        <w:t>ώς</w:t>
      </w:r>
      <w:r w:rsidR="00F2269A" w:rsidRPr="00FE5CA3">
        <w:rPr>
          <w:rFonts w:ascii="Bookman Old Style" w:hAnsi="Bookman Old Style" w:cs="TimesNewRomanPSMT"/>
          <w:sz w:val="24"/>
          <w:szCs w:val="24"/>
        </w:rPr>
        <w:t xml:space="preserve"> και μεθοδολογικ</w:t>
      </w:r>
      <w:r w:rsidR="00AE7A1A">
        <w:rPr>
          <w:rFonts w:ascii="Bookman Old Style" w:hAnsi="Bookman Old Style" w:cs="TimesNewRomanPSMT"/>
          <w:sz w:val="24"/>
          <w:szCs w:val="24"/>
        </w:rPr>
        <w:t>ώς</w:t>
      </w:r>
      <w:r w:rsidR="00F2269A" w:rsidRPr="00FE5CA3">
        <w:rPr>
          <w:rFonts w:ascii="Bookman Old Style" w:hAnsi="Bookman Old Style" w:cs="TimesNewRomanPSMT"/>
          <w:sz w:val="24"/>
          <w:szCs w:val="24"/>
        </w:rPr>
        <w:t xml:space="preserve"> </w:t>
      </w:r>
      <w:r w:rsidR="00AE7A1A">
        <w:rPr>
          <w:rFonts w:ascii="Bookman Old Style" w:hAnsi="Bookman Old Style" w:cs="TimesNewRomanPSMT"/>
          <w:sz w:val="24"/>
          <w:szCs w:val="24"/>
        </w:rPr>
        <w:t xml:space="preserve">επαρκώς </w:t>
      </w:r>
      <w:r w:rsidR="00F2269A" w:rsidRPr="00FE5CA3">
        <w:rPr>
          <w:rFonts w:ascii="Bookman Old Style" w:hAnsi="Bookman Old Style" w:cs="TimesNewRomanPSMT"/>
          <w:sz w:val="24"/>
          <w:szCs w:val="24"/>
        </w:rPr>
        <w:t>κατανοητή ως προς τον έλεγχο</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αναλογικότητας των σχετικών με το </w:t>
      </w:r>
      <w:r w:rsidR="00AE7A1A">
        <w:rPr>
          <w:rFonts w:ascii="Bookman Old Style" w:hAnsi="Bookman Old Style" w:cs="TimesNewRomanPSMT"/>
          <w:sz w:val="24"/>
          <w:szCs w:val="24"/>
        </w:rPr>
        <w:t>«</w:t>
      </w:r>
      <w:r w:rsidR="00F2269A" w:rsidRPr="00FE5CA3">
        <w:rPr>
          <w:rFonts w:ascii="Bookman Old Style" w:hAnsi="Bookman Old Style" w:cs="TimesNewRomanPSMT"/>
          <w:sz w:val="24"/>
          <w:szCs w:val="24"/>
        </w:rPr>
        <w:t>PSPP</w:t>
      </w:r>
      <w:r w:rsidR="00AE7A1A">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αποφάσεων</w:t>
      </w:r>
      <w:r w:rsidR="00AE7A1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 </w:t>
      </w:r>
      <w:r w:rsidR="00AE7A1A">
        <w:rPr>
          <w:rFonts w:ascii="Bookman Old Style" w:hAnsi="Bookman Old Style" w:cs="TimesNewRomanPSMT"/>
          <w:sz w:val="24"/>
          <w:szCs w:val="24"/>
        </w:rPr>
        <w:t>Ω</w:t>
      </w:r>
      <w:r w:rsidR="00F2269A" w:rsidRPr="00FE5CA3">
        <w:rPr>
          <w:rFonts w:ascii="Bookman Old Style" w:hAnsi="Bookman Old Style" w:cs="TimesNewRomanPSMT"/>
          <w:sz w:val="24"/>
          <w:szCs w:val="24"/>
        </w:rPr>
        <w:t>ς εκ τούτου</w:t>
      </w:r>
      <w:r w:rsidR="00AE7A1A">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w:t>
      </w:r>
      <w:r w:rsidR="00AE7A1A">
        <w:rPr>
          <w:rFonts w:ascii="Bookman Old Style" w:hAnsi="Bookman Old Style" w:cs="TimesNewRomanPSMT"/>
          <w:sz w:val="24"/>
          <w:szCs w:val="24"/>
        </w:rPr>
        <w:t>εκδόθηκε</w:t>
      </w:r>
      <w:r w:rsidR="00F2269A" w:rsidRPr="00FE5CA3">
        <w:rPr>
          <w:rFonts w:ascii="Bookman Old Style" w:hAnsi="Bookman Old Style" w:cs="TimesNewRomanPSMT"/>
          <w:sz w:val="24"/>
          <w:szCs w:val="24"/>
        </w:rPr>
        <w:t xml:space="preserve"> καθ' υπέρβασ</w:t>
      </w:r>
      <w:r w:rsidR="000052B1">
        <w:rPr>
          <w:rFonts w:ascii="Bookman Old Style" w:hAnsi="Bookman Old Style" w:cs="TimesNewRomanPSMT"/>
          <w:sz w:val="24"/>
          <w:szCs w:val="24"/>
        </w:rPr>
        <w:t>η</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εξουσίας (</w:t>
      </w:r>
      <w:r w:rsidR="000052B1">
        <w:rPr>
          <w:rFonts w:ascii="Bookman Old Style" w:hAnsi="Bookman Old Style" w:cs="TimesNewRomanPSMT"/>
          <w:sz w:val="24"/>
          <w:szCs w:val="24"/>
        </w:rPr>
        <w:t>«</w:t>
      </w:r>
      <w:r w:rsidR="00F2269A" w:rsidRPr="00FE5CA3">
        <w:rPr>
          <w:rFonts w:ascii="Bookman Old Style" w:hAnsi="Bookman Old Style" w:cs="TimesNewRomanPSMT"/>
          <w:sz w:val="24"/>
          <w:szCs w:val="24"/>
        </w:rPr>
        <w:t>ultra</w:t>
      </w:r>
      <w:r w:rsidR="000052B1">
        <w:rPr>
          <w:rFonts w:ascii="Bookman Old Style" w:hAnsi="Bookman Old Style" w:cs="TimesNewRomanPSMT"/>
          <w:sz w:val="24"/>
          <w:szCs w:val="24"/>
        </w:rPr>
        <w:t>-</w:t>
      </w:r>
      <w:r w:rsidR="00F2269A" w:rsidRPr="00FE5CA3">
        <w:rPr>
          <w:rFonts w:ascii="Bookman Old Style" w:hAnsi="Bookman Old Style" w:cs="TimesNewRomanPSMT"/>
          <w:sz w:val="24"/>
          <w:szCs w:val="24"/>
        </w:rPr>
        <w:t>vires</w:t>
      </w:r>
      <w:r w:rsidR="000052B1">
        <w:rPr>
          <w:rFonts w:ascii="Bookman Old Style" w:hAnsi="Bookman Old Style" w:cs="TimesNewRomanPSMT"/>
          <w:sz w:val="24"/>
          <w:szCs w:val="24"/>
        </w:rPr>
        <w:t>»</w:t>
      </w:r>
      <w:r w:rsidR="00F2269A" w:rsidRPr="00FE5CA3">
        <w:rPr>
          <w:rFonts w:ascii="Bookman Old Style" w:hAnsi="Bookman Old Style" w:cs="TimesNewRomanPSMT"/>
          <w:sz w:val="24"/>
          <w:szCs w:val="24"/>
        </w:rPr>
        <w:t>). Από την άλλη πλευρά</w:t>
      </w:r>
      <w:r w:rsidR="00AE7A1A">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το </w:t>
      </w:r>
      <w:r w:rsidR="00F2269A">
        <w:rPr>
          <w:rFonts w:ascii="Bookman Old Style" w:hAnsi="Bookman Old Style" w:cs="TimesNewRomanPSMT"/>
          <w:sz w:val="24"/>
          <w:szCs w:val="24"/>
        </w:rPr>
        <w:t>Ομοσπονδιακό Συνταγματικό Δικαστήριο της Γερμανίας</w:t>
      </w:r>
      <w:r w:rsidR="00F2269A" w:rsidRPr="00FE5CA3">
        <w:rPr>
          <w:rFonts w:ascii="Bookman Old Style" w:hAnsi="Bookman Old Style" w:cs="TimesNewRomanPSMT"/>
          <w:sz w:val="24"/>
          <w:szCs w:val="24"/>
        </w:rPr>
        <w:t xml:space="preserve"> δεν διεπίστωσε παράβαση </w:t>
      </w:r>
      <w:r w:rsidR="00F2269A">
        <w:rPr>
          <w:rFonts w:ascii="Bookman Old Style" w:hAnsi="Bookman Old Style" w:cs="TimesNewRomanPSMT"/>
          <w:sz w:val="24"/>
          <w:szCs w:val="24"/>
        </w:rPr>
        <w:t xml:space="preserve">της </w:t>
      </w:r>
      <w:r w:rsidR="00F2269A" w:rsidRPr="00FE5CA3">
        <w:rPr>
          <w:rFonts w:ascii="Bookman Old Style" w:hAnsi="Bookman Old Style" w:cs="TimesNewRomanPSMT"/>
          <w:sz w:val="24"/>
          <w:szCs w:val="24"/>
        </w:rPr>
        <w:t xml:space="preserve">απαγόρευσης νομισματικής χρηματοδότησης των </w:t>
      </w:r>
      <w:r w:rsidR="00AE7A1A">
        <w:rPr>
          <w:rFonts w:ascii="Bookman Old Style" w:hAnsi="Bookman Old Style" w:cs="TimesNewRomanPSMT"/>
          <w:sz w:val="24"/>
          <w:szCs w:val="24"/>
        </w:rPr>
        <w:t>Κ</w:t>
      </w:r>
      <w:r w:rsidR="00F2269A" w:rsidRPr="00FE5CA3">
        <w:rPr>
          <w:rFonts w:ascii="Bookman Old Style" w:hAnsi="Bookman Old Style" w:cs="TimesNewRomanPSMT"/>
          <w:sz w:val="24"/>
          <w:szCs w:val="24"/>
        </w:rPr>
        <w:t>ρατών</w:t>
      </w:r>
      <w:r w:rsidR="00AE7A1A">
        <w:rPr>
          <w:rFonts w:ascii="Bookman Old Style" w:hAnsi="Bookman Old Style" w:cs="TimesNewRomanPSMT"/>
          <w:sz w:val="24"/>
          <w:szCs w:val="24"/>
        </w:rPr>
        <w:t>-</w:t>
      </w:r>
      <w:r w:rsidR="00AE7A1A">
        <w:rPr>
          <w:rFonts w:ascii="Bookman Old Style" w:hAnsi="Bookman Old Style" w:cs="TimesNewRomanPSMT"/>
          <w:sz w:val="24"/>
          <w:szCs w:val="24"/>
        </w:rPr>
        <w:lastRenderedPageBreak/>
        <w:t>Μ</w:t>
      </w:r>
      <w:r w:rsidR="00F2269A" w:rsidRPr="00FE5CA3">
        <w:rPr>
          <w:rFonts w:ascii="Bookman Old Style" w:hAnsi="Bookman Old Style" w:cs="TimesNewRomanPSMT"/>
          <w:sz w:val="24"/>
          <w:szCs w:val="24"/>
        </w:rPr>
        <w:t xml:space="preserve">ελών μέσω του </w:t>
      </w:r>
      <w:r w:rsidR="000052B1">
        <w:rPr>
          <w:rFonts w:ascii="Bookman Old Style" w:hAnsi="Bookman Old Style" w:cs="TimesNewRomanPSMT"/>
          <w:sz w:val="24"/>
          <w:szCs w:val="24"/>
        </w:rPr>
        <w:t>«</w:t>
      </w:r>
      <w:r w:rsidR="00F2269A" w:rsidRPr="00FE5CA3">
        <w:rPr>
          <w:rFonts w:ascii="Bookman Old Style" w:hAnsi="Bookman Old Style" w:cs="TimesNewRomanPSMT"/>
          <w:sz w:val="24"/>
          <w:szCs w:val="24"/>
        </w:rPr>
        <w:t>PSPP</w:t>
      </w:r>
      <w:r w:rsidR="000052B1">
        <w:rPr>
          <w:rFonts w:ascii="Bookman Old Style" w:hAnsi="Bookman Old Style" w:cs="TimesNewRomanPSMT"/>
          <w:sz w:val="24"/>
          <w:szCs w:val="24"/>
        </w:rPr>
        <w:t>»</w:t>
      </w:r>
      <w:r w:rsidR="00F2269A" w:rsidRPr="00FE5CA3">
        <w:rPr>
          <w:rFonts w:ascii="Bookman Old Style" w:hAnsi="Bookman Old Style" w:cs="TimesNewRomanPSMT"/>
          <w:sz w:val="24"/>
          <w:szCs w:val="24"/>
        </w:rPr>
        <w:t>. Τα μέτρα</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στήριξης της Ε</w:t>
      </w:r>
      <w:r w:rsidR="00AE7A1A">
        <w:rPr>
          <w:rFonts w:ascii="Bookman Old Style" w:hAnsi="Bookman Old Style" w:cs="TimesNewRomanPSMT"/>
          <w:sz w:val="24"/>
          <w:szCs w:val="24"/>
        </w:rPr>
        <w:t>υρωπαϊκής Ένωσης</w:t>
      </w:r>
      <w:r w:rsidR="00F2269A" w:rsidRPr="00FE5CA3">
        <w:rPr>
          <w:rFonts w:ascii="Bookman Old Style" w:hAnsi="Bookman Old Style" w:cs="TimesNewRomanPSMT"/>
          <w:sz w:val="24"/>
          <w:szCs w:val="24"/>
        </w:rPr>
        <w:t xml:space="preserve"> και της ΕΚΤ</w:t>
      </w:r>
      <w:r w:rsidR="00AE7A1A">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που υιοθετήθηκαν για την</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αντιμετώπιση της κρίσης</w:t>
      </w:r>
      <w:r w:rsidR="00AE7A1A">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w:t>
      </w:r>
      <w:r w:rsidR="00AE7A1A">
        <w:rPr>
          <w:rFonts w:ascii="Bookman Old Style" w:hAnsi="Bookman Old Style" w:cs="TimesNewRomanPSMT"/>
          <w:sz w:val="24"/>
          <w:szCs w:val="24"/>
        </w:rPr>
        <w:t>η οποία</w:t>
      </w:r>
      <w:r w:rsidR="00F2269A" w:rsidRPr="00FE5CA3">
        <w:rPr>
          <w:rFonts w:ascii="Bookman Old Style" w:hAnsi="Bookman Old Style" w:cs="TimesNewRomanPSMT"/>
          <w:sz w:val="24"/>
          <w:szCs w:val="24"/>
        </w:rPr>
        <w:t xml:space="preserve"> σχετίζεται</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με την πανδημία </w:t>
      </w:r>
      <w:r w:rsidR="00AE7A1A">
        <w:rPr>
          <w:rFonts w:ascii="Bookman Old Style" w:hAnsi="Bookman Old Style" w:cs="TimesNewRomanPSMT"/>
          <w:sz w:val="24"/>
          <w:szCs w:val="24"/>
        </w:rPr>
        <w:t xml:space="preserve">του </w:t>
      </w:r>
      <w:r w:rsidR="00AE7A1A">
        <w:rPr>
          <w:rFonts w:ascii="Bookman Old Style" w:hAnsi="Bookman Old Style" w:cs="TimesNewRomanPSMT"/>
          <w:sz w:val="24"/>
          <w:szCs w:val="24"/>
          <w:lang w:val="en-US"/>
        </w:rPr>
        <w:t>C</w:t>
      </w:r>
      <w:r w:rsidR="00F2269A" w:rsidRPr="00FE5CA3">
        <w:rPr>
          <w:rFonts w:ascii="Bookman Old Style" w:hAnsi="Bookman Old Style" w:cs="TimesNewRomanPSMT"/>
          <w:sz w:val="24"/>
          <w:szCs w:val="24"/>
        </w:rPr>
        <w:t>ovid</w:t>
      </w:r>
      <w:r w:rsidR="00AE7A1A" w:rsidRPr="00AE7A1A">
        <w:rPr>
          <w:rFonts w:ascii="Bookman Old Style" w:hAnsi="Bookman Old Style" w:cs="TimesNewRomanPSMT"/>
          <w:sz w:val="24"/>
          <w:szCs w:val="24"/>
        </w:rPr>
        <w:t>-19</w:t>
      </w:r>
      <w:r w:rsidR="000052B1">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δεν απετέλεσαν αντικείμενο της κρίσης</w:t>
      </w:r>
      <w:r w:rsidR="00AE7A1A">
        <w:rPr>
          <w:rFonts w:ascii="Bookman Old Style" w:hAnsi="Bookman Old Style" w:cs="TimesNewRomanPSMT"/>
          <w:sz w:val="24"/>
          <w:szCs w:val="24"/>
        </w:rPr>
        <w:t xml:space="preserve"> του Ομοσπονδιακού Συνταγματικού Δικαστηρίου.</w:t>
      </w:r>
    </w:p>
    <w:p w:rsidR="00F2269A" w:rsidRPr="00FE5CA3" w:rsidRDefault="00F2269A" w:rsidP="00303AFA">
      <w:pPr>
        <w:autoSpaceDE w:val="0"/>
        <w:autoSpaceDN w:val="0"/>
        <w:adjustRightInd w:val="0"/>
        <w:spacing w:before="240" w:line="360" w:lineRule="auto"/>
        <w:ind w:left="284" w:hanging="284"/>
        <w:jc w:val="both"/>
        <w:rPr>
          <w:rFonts w:ascii="Bookman Old Style" w:hAnsi="Bookman Old Style" w:cs="TimesNewRomanPS-BoldMT"/>
          <w:b/>
          <w:bCs/>
          <w:sz w:val="24"/>
          <w:szCs w:val="24"/>
        </w:rPr>
      </w:pPr>
      <w:r>
        <w:rPr>
          <w:rFonts w:ascii="Bookman Old Style" w:hAnsi="Bookman Old Style" w:cs="TimesNewRomanPS-BoldMT"/>
          <w:b/>
          <w:bCs/>
          <w:sz w:val="24"/>
          <w:szCs w:val="24"/>
        </w:rPr>
        <w:t xml:space="preserve">Α. </w:t>
      </w:r>
      <w:r w:rsidRPr="00FE5CA3">
        <w:rPr>
          <w:rFonts w:ascii="Bookman Old Style" w:hAnsi="Bookman Old Style" w:cs="TimesNewRomanPS-BoldMT"/>
          <w:b/>
          <w:bCs/>
          <w:sz w:val="24"/>
          <w:szCs w:val="24"/>
        </w:rPr>
        <w:t>Ιστορικό</w:t>
      </w:r>
      <w:r w:rsidR="00AE7A1A">
        <w:rPr>
          <w:rFonts w:ascii="Bookman Old Style" w:hAnsi="Bookman Old Style" w:cs="TimesNewRomanPS-BoldMT"/>
          <w:b/>
          <w:bCs/>
          <w:sz w:val="24"/>
          <w:szCs w:val="24"/>
        </w:rPr>
        <w:t xml:space="preserve"> της απόφασης.</w:t>
      </w:r>
    </w:p>
    <w:p w:rsidR="00F2269A" w:rsidRDefault="00AE7A1A" w:rsidP="00303AFA">
      <w:pPr>
        <w:autoSpaceDE w:val="0"/>
        <w:autoSpaceDN w:val="0"/>
        <w:adjustRightInd w:val="0"/>
        <w:spacing w:before="240" w:line="360" w:lineRule="auto"/>
        <w:ind w:left="284"/>
        <w:jc w:val="both"/>
        <w:rPr>
          <w:rFonts w:ascii="Bookman Old Style" w:hAnsi="Bookman Old Style" w:cs="TimesNewRomanPSMT"/>
          <w:sz w:val="24"/>
          <w:szCs w:val="24"/>
        </w:rPr>
      </w:pPr>
      <w:r>
        <w:rPr>
          <w:rFonts w:ascii="Bookman Old Style" w:hAnsi="Bookman Old Style" w:cs="TimesNewRomanPSMT"/>
          <w:sz w:val="24"/>
          <w:szCs w:val="24"/>
        </w:rPr>
        <w:t>Όπως προεκτέθηκε</w:t>
      </w:r>
      <w:r w:rsidR="00CE42E4">
        <w:rPr>
          <w:rFonts w:ascii="Bookman Old Style" w:hAnsi="Bookman Old Style" w:cs="TimesNewRomanPSMT"/>
          <w:sz w:val="24"/>
          <w:szCs w:val="24"/>
        </w:rPr>
        <w:t>,</w:t>
      </w:r>
      <w:r>
        <w:rPr>
          <w:rFonts w:ascii="Bookman Old Style" w:hAnsi="Bookman Old Style" w:cs="TimesNewRomanPSMT"/>
          <w:sz w:val="24"/>
          <w:szCs w:val="24"/>
        </w:rPr>
        <w:t xml:space="preserve"> τ</w:t>
      </w:r>
      <w:r w:rsidR="00F2269A" w:rsidRPr="00FE5CA3">
        <w:rPr>
          <w:rFonts w:ascii="Bookman Old Style" w:hAnsi="Bookman Old Style" w:cs="TimesNewRomanPSMT"/>
          <w:sz w:val="24"/>
          <w:szCs w:val="24"/>
        </w:rPr>
        <w:t xml:space="preserve">ο </w:t>
      </w:r>
      <w:r>
        <w:rPr>
          <w:rFonts w:ascii="Bookman Old Style" w:hAnsi="Bookman Old Style" w:cs="TimesNewRomanPSMT"/>
          <w:sz w:val="24"/>
          <w:szCs w:val="24"/>
        </w:rPr>
        <w:t>«</w:t>
      </w:r>
      <w:r w:rsidR="00F2269A" w:rsidRPr="00FE5CA3">
        <w:rPr>
          <w:rFonts w:ascii="Bookman Old Style" w:hAnsi="Bookman Old Style" w:cs="TimesNewRomanPSMT"/>
          <w:sz w:val="24"/>
          <w:szCs w:val="24"/>
        </w:rPr>
        <w:t>PSPP</w:t>
      </w:r>
      <w:r>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αποτελεί μέρος του </w:t>
      </w:r>
      <w:r>
        <w:rPr>
          <w:rFonts w:ascii="Bookman Old Style" w:hAnsi="Bookman Old Style" w:cs="TimesNewRomanPSMT"/>
          <w:sz w:val="24"/>
          <w:szCs w:val="24"/>
        </w:rPr>
        <w:t>«</w:t>
      </w:r>
      <w:r w:rsidR="00F2269A" w:rsidRPr="00FE5CA3">
        <w:rPr>
          <w:rFonts w:ascii="Bookman Old Style" w:hAnsi="Bookman Old Style" w:cs="TimesNewRomanPSMT"/>
          <w:sz w:val="24"/>
          <w:szCs w:val="24"/>
        </w:rPr>
        <w:t>Expanded Asset Purchase Programme</w:t>
      </w:r>
      <w:r>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w:t>
      </w:r>
      <w:r>
        <w:rPr>
          <w:rFonts w:ascii="Bookman Old Style" w:hAnsi="Bookman Old Style" w:cs="TimesNewRomanPSMT"/>
          <w:sz w:val="24"/>
          <w:szCs w:val="24"/>
        </w:rPr>
        <w:t>«</w:t>
      </w:r>
      <w:r w:rsidR="00F2269A" w:rsidRPr="00FE5CA3">
        <w:rPr>
          <w:rFonts w:ascii="Bookman Old Style" w:hAnsi="Bookman Old Style" w:cs="TimesNewRomanPSMT"/>
          <w:sz w:val="24"/>
          <w:szCs w:val="24"/>
        </w:rPr>
        <w:t>EAPP</w:t>
      </w:r>
      <w:r>
        <w:rPr>
          <w:rFonts w:ascii="Bookman Old Style" w:hAnsi="Bookman Old Style" w:cs="TimesNewRomanPSMT"/>
          <w:sz w:val="24"/>
          <w:szCs w:val="24"/>
        </w:rPr>
        <w:t>»</w:t>
      </w:r>
      <w:r w:rsidR="00F2269A" w:rsidRPr="00FE5CA3">
        <w:rPr>
          <w:rFonts w:ascii="Bookman Old Style" w:hAnsi="Bookman Old Style" w:cs="TimesNewRomanPSMT"/>
          <w:sz w:val="24"/>
          <w:szCs w:val="24"/>
        </w:rPr>
        <w:t>), ενός προγράμματος-πλαισίου του Ευρωσυστήματος για την αγορά περιουσιακών στοιχείων. Όπως αποδεικνύεται από</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την αιτιολογία του</w:t>
      </w:r>
      <w:r>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το </w:t>
      </w:r>
      <w:r>
        <w:rPr>
          <w:rFonts w:ascii="Bookman Old Style" w:hAnsi="Bookman Old Style" w:cs="TimesNewRomanPSMT"/>
          <w:sz w:val="24"/>
          <w:szCs w:val="24"/>
        </w:rPr>
        <w:t>«</w:t>
      </w:r>
      <w:r w:rsidR="00F2269A" w:rsidRPr="00FE5CA3">
        <w:rPr>
          <w:rFonts w:ascii="Bookman Old Style" w:hAnsi="Bookman Old Style" w:cs="TimesNewRomanPSMT"/>
          <w:sz w:val="24"/>
          <w:szCs w:val="24"/>
        </w:rPr>
        <w:t>EAPP</w:t>
      </w:r>
      <w:r>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αποσκοπεί σε αύξηση του χρηματικού όγκου </w:t>
      </w:r>
      <w:r>
        <w:rPr>
          <w:rFonts w:ascii="Bookman Old Style" w:hAnsi="Bookman Old Style" w:cs="TimesNewRomanPSMT"/>
          <w:sz w:val="24"/>
          <w:szCs w:val="24"/>
        </w:rPr>
        <w:t>για την</w:t>
      </w:r>
      <w:r w:rsidR="00F2269A" w:rsidRPr="00FE5CA3">
        <w:rPr>
          <w:rFonts w:ascii="Bookman Old Style" w:hAnsi="Bookman Old Style" w:cs="TimesNewRomanPSMT"/>
          <w:sz w:val="24"/>
          <w:szCs w:val="24"/>
        </w:rPr>
        <w:t xml:space="preserve"> στήριξη της κατανάλωσης και των</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επενδύσεων και</w:t>
      </w:r>
      <w:r>
        <w:rPr>
          <w:rFonts w:ascii="Bookman Old Style" w:hAnsi="Bookman Old Style" w:cs="TimesNewRomanPSMT"/>
          <w:sz w:val="24"/>
          <w:szCs w:val="24"/>
        </w:rPr>
        <w:t xml:space="preserve">, επομένως, στην </w:t>
      </w:r>
      <w:r w:rsidR="00F2269A" w:rsidRPr="00FE5CA3">
        <w:rPr>
          <w:rFonts w:ascii="Bookman Old Style" w:hAnsi="Bookman Old Style" w:cs="TimesNewRomanPSMT"/>
          <w:sz w:val="24"/>
          <w:szCs w:val="24"/>
        </w:rPr>
        <w:t>αύξηση του</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πληθωρισμού της Ευρωζώνης σ</w:t>
      </w:r>
      <w:r>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επίπεδο</w:t>
      </w:r>
      <w:r w:rsidR="00F2269A">
        <w:rPr>
          <w:rFonts w:ascii="Bookman Old Style" w:hAnsi="Bookman Old Style" w:cs="TimesNewRomanPSMT"/>
          <w:sz w:val="24"/>
          <w:szCs w:val="24"/>
        </w:rPr>
        <w:t xml:space="preserve"> </w:t>
      </w:r>
      <w:r>
        <w:rPr>
          <w:rFonts w:ascii="Bookman Old Style" w:hAnsi="Bookman Old Style" w:cs="TimesNewRomanPSMT"/>
          <w:sz w:val="24"/>
          <w:szCs w:val="24"/>
        </w:rPr>
        <w:t>κοντά στο</w:t>
      </w:r>
      <w:r w:rsidR="00F2269A" w:rsidRPr="00FE5CA3">
        <w:rPr>
          <w:rFonts w:ascii="Bookman Old Style" w:hAnsi="Bookman Old Style" w:cs="TimesNewRomanPSMT"/>
          <w:sz w:val="24"/>
          <w:szCs w:val="24"/>
        </w:rPr>
        <w:t xml:space="preserve"> 2%. Το </w:t>
      </w:r>
      <w:r w:rsidR="000052B1">
        <w:rPr>
          <w:rFonts w:ascii="Bookman Old Style" w:hAnsi="Bookman Old Style" w:cs="TimesNewRomanPSMT"/>
          <w:sz w:val="24"/>
          <w:szCs w:val="24"/>
        </w:rPr>
        <w:t>«</w:t>
      </w:r>
      <w:r w:rsidR="00F2269A" w:rsidRPr="00FE5CA3">
        <w:rPr>
          <w:rFonts w:ascii="Bookman Old Style" w:hAnsi="Bookman Old Style" w:cs="TimesNewRomanPSMT"/>
          <w:sz w:val="24"/>
          <w:szCs w:val="24"/>
        </w:rPr>
        <w:t>PSPP</w:t>
      </w:r>
      <w:r w:rsidR="000052B1">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υιοθετήθηκε με απόφαση</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της ΕΚΤ της 4ης Μαρτίου 2015, η οποία τροποποιήθηκε στη</w:t>
      </w:r>
      <w:r w:rsidR="000052B1">
        <w:rPr>
          <w:rFonts w:ascii="Bookman Old Style" w:hAnsi="Bookman Old Style" w:cs="TimesNewRomanPSMT"/>
          <w:sz w:val="24"/>
          <w:szCs w:val="24"/>
        </w:rPr>
        <w:t>ν</w:t>
      </w:r>
      <w:r w:rsidR="00F2269A" w:rsidRPr="00FE5CA3">
        <w:rPr>
          <w:rFonts w:ascii="Bookman Old Style" w:hAnsi="Bookman Old Style" w:cs="TimesNewRomanPSMT"/>
          <w:sz w:val="24"/>
          <w:szCs w:val="24"/>
        </w:rPr>
        <w:t xml:space="preserve"> συνέχεια με συνολικά </w:t>
      </w:r>
      <w:r w:rsidR="00F2269A">
        <w:rPr>
          <w:rFonts w:ascii="Bookman Old Style" w:hAnsi="Bookman Old Style" w:cs="TimesNewRomanPSMT"/>
          <w:sz w:val="24"/>
          <w:szCs w:val="24"/>
        </w:rPr>
        <w:t xml:space="preserve">άλλες </w:t>
      </w:r>
      <w:r w:rsidR="00F2269A" w:rsidRPr="00FE5CA3">
        <w:rPr>
          <w:rFonts w:ascii="Bookman Old Style" w:hAnsi="Bookman Old Style" w:cs="TimesNewRomanPSMT"/>
          <w:sz w:val="24"/>
          <w:szCs w:val="24"/>
        </w:rPr>
        <w:t>πέντε</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αποφάσεις. </w:t>
      </w:r>
    </w:p>
    <w:p w:rsidR="00AE7A1A" w:rsidRDefault="00541497" w:rsidP="00303AFA">
      <w:pPr>
        <w:pStyle w:val="a3"/>
        <w:numPr>
          <w:ilvl w:val="0"/>
          <w:numId w:val="6"/>
        </w:numPr>
        <w:autoSpaceDE w:val="0"/>
        <w:autoSpaceDN w:val="0"/>
        <w:adjustRightInd w:val="0"/>
        <w:spacing w:before="240" w:line="360" w:lineRule="auto"/>
        <w:ind w:left="851" w:hanging="284"/>
        <w:contextualSpacing w:val="0"/>
        <w:jc w:val="both"/>
        <w:rPr>
          <w:rFonts w:ascii="Bookman Old Style" w:hAnsi="Bookman Old Style" w:cs="TimesNewRomanPSMT"/>
          <w:sz w:val="24"/>
          <w:szCs w:val="24"/>
        </w:rPr>
      </w:pPr>
      <w:r>
        <w:rPr>
          <w:rFonts w:ascii="Bookman Old Style" w:hAnsi="Bookman Old Style" w:cs="TimesNewRomanPSMT"/>
          <w:b/>
          <w:sz w:val="24"/>
          <w:szCs w:val="24"/>
        </w:rPr>
        <w:t>Οι μέθοδοι του «</w:t>
      </w:r>
      <w:r>
        <w:rPr>
          <w:rFonts w:ascii="Bookman Old Style" w:hAnsi="Bookman Old Style" w:cs="TimesNewRomanPSMT"/>
          <w:b/>
          <w:sz w:val="24"/>
          <w:szCs w:val="24"/>
          <w:lang w:val="en-US"/>
        </w:rPr>
        <w:t>PSPP</w:t>
      </w:r>
      <w:r>
        <w:rPr>
          <w:rFonts w:ascii="Bookman Old Style" w:hAnsi="Bookman Old Style" w:cs="TimesNewRomanPSMT"/>
          <w:b/>
          <w:sz w:val="24"/>
          <w:szCs w:val="24"/>
        </w:rPr>
        <w:t>».</w:t>
      </w:r>
    </w:p>
    <w:p w:rsidR="00F2269A" w:rsidRDefault="00F2269A" w:rsidP="00303AFA">
      <w:pPr>
        <w:pStyle w:val="a3"/>
        <w:autoSpaceDE w:val="0"/>
        <w:autoSpaceDN w:val="0"/>
        <w:adjustRightInd w:val="0"/>
        <w:spacing w:before="240" w:line="360" w:lineRule="auto"/>
        <w:ind w:left="851"/>
        <w:contextualSpacing w:val="0"/>
        <w:jc w:val="both"/>
        <w:rPr>
          <w:rFonts w:ascii="Bookman Old Style" w:hAnsi="Bookman Old Style" w:cs="TimesNewRomanPSMT"/>
          <w:sz w:val="24"/>
          <w:szCs w:val="24"/>
        </w:rPr>
      </w:pPr>
      <w:r w:rsidRPr="008E4CDF">
        <w:rPr>
          <w:rFonts w:ascii="Bookman Old Style" w:hAnsi="Bookman Old Style" w:cs="TimesNewRomanPSMT"/>
          <w:sz w:val="24"/>
          <w:szCs w:val="24"/>
        </w:rPr>
        <w:t xml:space="preserve">Με το </w:t>
      </w:r>
      <w:r w:rsidR="00541497">
        <w:rPr>
          <w:rFonts w:ascii="Bookman Old Style" w:hAnsi="Bookman Old Style" w:cs="TimesNewRomanPSMT"/>
          <w:sz w:val="24"/>
          <w:szCs w:val="24"/>
        </w:rPr>
        <w:t>«</w:t>
      </w:r>
      <w:r w:rsidRPr="008E4CDF">
        <w:rPr>
          <w:rFonts w:ascii="Bookman Old Style" w:hAnsi="Bookman Old Style" w:cs="TimesNewRomanPSMT"/>
          <w:sz w:val="24"/>
          <w:szCs w:val="24"/>
        </w:rPr>
        <w:t>PSPP</w:t>
      </w:r>
      <w:r w:rsidR="00541497">
        <w:rPr>
          <w:rFonts w:ascii="Bookman Old Style" w:hAnsi="Bookman Old Style" w:cs="TimesNewRomanPSMT"/>
          <w:sz w:val="24"/>
          <w:szCs w:val="24"/>
        </w:rPr>
        <w:t>»</w:t>
      </w:r>
      <w:r w:rsidRPr="008E4CDF">
        <w:rPr>
          <w:rFonts w:ascii="Bookman Old Style" w:hAnsi="Bookman Old Style" w:cs="TimesNewRomanPSMT"/>
          <w:sz w:val="24"/>
          <w:szCs w:val="24"/>
        </w:rPr>
        <w:t xml:space="preserve"> αγοράζονται</w:t>
      </w:r>
      <w:r w:rsidR="00541497">
        <w:rPr>
          <w:rFonts w:ascii="Bookman Old Style" w:hAnsi="Bookman Old Style" w:cs="TimesNewRomanPSMT"/>
          <w:sz w:val="24"/>
          <w:szCs w:val="24"/>
        </w:rPr>
        <w:t>,</w:t>
      </w:r>
      <w:r w:rsidRPr="008E4CDF">
        <w:rPr>
          <w:rFonts w:ascii="Bookman Old Style" w:hAnsi="Bookman Old Style" w:cs="TimesNewRomanPSMT"/>
          <w:sz w:val="24"/>
          <w:szCs w:val="24"/>
        </w:rPr>
        <w:t xml:space="preserve"> με</w:t>
      </w:r>
      <w:r w:rsidR="00541497">
        <w:rPr>
          <w:rFonts w:ascii="Bookman Old Style" w:hAnsi="Bookman Old Style" w:cs="TimesNewRomanPSMT"/>
          <w:sz w:val="24"/>
          <w:szCs w:val="24"/>
        </w:rPr>
        <w:t xml:space="preserve"> τους</w:t>
      </w:r>
      <w:r w:rsidRPr="008E4CDF">
        <w:rPr>
          <w:rFonts w:ascii="Bookman Old Style" w:hAnsi="Bookman Old Style" w:cs="TimesNewRomanPSMT"/>
          <w:sz w:val="24"/>
          <w:szCs w:val="24"/>
        </w:rPr>
        <w:t xml:space="preserve"> όρους που καθορίζονται στις επιμέρους αποφάσεις </w:t>
      </w:r>
      <w:r>
        <w:rPr>
          <w:rFonts w:ascii="Bookman Old Style" w:hAnsi="Bookman Old Style" w:cs="TimesNewRomanPSMT"/>
          <w:sz w:val="24"/>
          <w:szCs w:val="24"/>
        </w:rPr>
        <w:t xml:space="preserve">της </w:t>
      </w:r>
      <w:r w:rsidRPr="008E4CDF">
        <w:rPr>
          <w:rFonts w:ascii="Bookman Old Style" w:hAnsi="Bookman Old Style" w:cs="TimesNewRomanPSMT"/>
          <w:sz w:val="24"/>
          <w:szCs w:val="24"/>
        </w:rPr>
        <w:t>ΕΚΤ</w:t>
      </w:r>
      <w:r w:rsidR="00541497">
        <w:rPr>
          <w:rFonts w:ascii="Bookman Old Style" w:hAnsi="Bookman Old Style" w:cs="TimesNewRomanPSMT"/>
          <w:sz w:val="24"/>
          <w:szCs w:val="24"/>
        </w:rPr>
        <w:t>,</w:t>
      </w:r>
      <w:r w:rsidRPr="008E4CDF">
        <w:rPr>
          <w:rFonts w:ascii="Bookman Old Style" w:hAnsi="Bookman Old Style" w:cs="TimesNewRomanPSMT"/>
          <w:sz w:val="24"/>
          <w:szCs w:val="24"/>
        </w:rPr>
        <w:t xml:space="preserve"> κρατικά ομόλογα και άλλοι παρόμοιοι τίτλοι</w:t>
      </w:r>
      <w:r w:rsidR="00541497">
        <w:rPr>
          <w:rFonts w:ascii="Bookman Old Style" w:hAnsi="Bookman Old Style" w:cs="TimesNewRomanPSMT"/>
          <w:sz w:val="24"/>
          <w:szCs w:val="24"/>
        </w:rPr>
        <w:t>, οι οποίοι</w:t>
      </w:r>
      <w:r w:rsidRPr="008E4CDF">
        <w:rPr>
          <w:rFonts w:ascii="Bookman Old Style" w:hAnsi="Bookman Old Style" w:cs="TimesNewRomanPSMT"/>
          <w:sz w:val="24"/>
          <w:szCs w:val="24"/>
        </w:rPr>
        <w:t xml:space="preserve"> είναι διαθέσιμοι στις αγορές και</w:t>
      </w:r>
      <w:r>
        <w:rPr>
          <w:rFonts w:ascii="Bookman Old Style" w:hAnsi="Bookman Old Style" w:cs="TimesNewRomanPSMT"/>
          <w:sz w:val="24"/>
          <w:szCs w:val="24"/>
        </w:rPr>
        <w:t xml:space="preserve"> </w:t>
      </w:r>
      <w:r w:rsidRPr="008E4CDF">
        <w:rPr>
          <w:rFonts w:ascii="Bookman Old Style" w:hAnsi="Bookman Old Style" w:cs="TimesNewRomanPSMT"/>
          <w:sz w:val="24"/>
          <w:szCs w:val="24"/>
        </w:rPr>
        <w:t xml:space="preserve">εκδίδονται από την κυβέρνηση ενός </w:t>
      </w:r>
      <w:r w:rsidR="00541497">
        <w:rPr>
          <w:rFonts w:ascii="Bookman Old Style" w:hAnsi="Bookman Old Style" w:cs="TimesNewRomanPSMT"/>
          <w:sz w:val="24"/>
          <w:szCs w:val="24"/>
        </w:rPr>
        <w:t>Κ</w:t>
      </w:r>
      <w:r w:rsidRPr="008E4CDF">
        <w:rPr>
          <w:rFonts w:ascii="Bookman Old Style" w:hAnsi="Bookman Old Style" w:cs="TimesNewRomanPSMT"/>
          <w:sz w:val="24"/>
          <w:szCs w:val="24"/>
        </w:rPr>
        <w:t>ράτους-</w:t>
      </w:r>
      <w:r w:rsidR="00541497">
        <w:rPr>
          <w:rFonts w:ascii="Bookman Old Style" w:hAnsi="Bookman Old Style" w:cs="TimesNewRomanPSMT"/>
          <w:sz w:val="24"/>
          <w:szCs w:val="24"/>
        </w:rPr>
        <w:t>Μ</w:t>
      </w:r>
      <w:r w:rsidRPr="008E4CDF">
        <w:rPr>
          <w:rFonts w:ascii="Bookman Old Style" w:hAnsi="Bookman Old Style" w:cs="TimesNewRomanPSMT"/>
          <w:sz w:val="24"/>
          <w:szCs w:val="24"/>
        </w:rPr>
        <w:t xml:space="preserve">έλους της </w:t>
      </w:r>
      <w:r w:rsidR="00541497">
        <w:rPr>
          <w:rFonts w:ascii="Bookman Old Style" w:hAnsi="Bookman Old Style" w:cs="TimesNewRomanPSMT"/>
          <w:sz w:val="24"/>
          <w:szCs w:val="24"/>
        </w:rPr>
        <w:t>Ευρωζώνης, από</w:t>
      </w:r>
      <w:r w:rsidRPr="008E4CDF">
        <w:rPr>
          <w:rFonts w:ascii="Bookman Old Style" w:hAnsi="Bookman Old Style" w:cs="TimesNewRomanPSMT"/>
          <w:sz w:val="24"/>
          <w:szCs w:val="24"/>
        </w:rPr>
        <w:t xml:space="preserve"> «αναγνωρισμένα</w:t>
      </w:r>
      <w:r>
        <w:rPr>
          <w:rFonts w:ascii="Bookman Old Style" w:hAnsi="Bookman Old Style" w:cs="TimesNewRomanPSMT"/>
          <w:sz w:val="24"/>
          <w:szCs w:val="24"/>
        </w:rPr>
        <w:t xml:space="preserve"> </w:t>
      </w:r>
      <w:r w:rsidRPr="008E4CDF">
        <w:rPr>
          <w:rFonts w:ascii="Bookman Old Style" w:hAnsi="Bookman Old Style" w:cs="TimesNewRomanPSMT"/>
          <w:sz w:val="24"/>
          <w:szCs w:val="24"/>
        </w:rPr>
        <w:t>όργανα»</w:t>
      </w:r>
      <w:r w:rsidR="00541497">
        <w:rPr>
          <w:rFonts w:ascii="Bookman Old Style" w:hAnsi="Bookman Old Style" w:cs="TimesNewRomanPSMT"/>
          <w:sz w:val="24"/>
          <w:szCs w:val="24"/>
        </w:rPr>
        <w:t xml:space="preserve"> και από Δ</w:t>
      </w:r>
      <w:r w:rsidRPr="008E4CDF">
        <w:rPr>
          <w:rFonts w:ascii="Bookman Old Style" w:hAnsi="Bookman Old Style" w:cs="TimesNewRomanPSMT"/>
          <w:sz w:val="24"/>
          <w:szCs w:val="24"/>
        </w:rPr>
        <w:t xml:space="preserve">ιεθνείς </w:t>
      </w:r>
      <w:r w:rsidR="00541497">
        <w:rPr>
          <w:rFonts w:ascii="Bookman Old Style" w:hAnsi="Bookman Old Style" w:cs="TimesNewRomanPSMT"/>
          <w:sz w:val="24"/>
          <w:szCs w:val="24"/>
        </w:rPr>
        <w:t>Ο</w:t>
      </w:r>
      <w:r w:rsidRPr="008E4CDF">
        <w:rPr>
          <w:rFonts w:ascii="Bookman Old Style" w:hAnsi="Bookman Old Style" w:cs="TimesNewRomanPSMT"/>
          <w:sz w:val="24"/>
          <w:szCs w:val="24"/>
        </w:rPr>
        <w:t xml:space="preserve">ργανισμούς και </w:t>
      </w:r>
      <w:r w:rsidR="00CE42E4">
        <w:rPr>
          <w:rFonts w:ascii="Bookman Old Style" w:hAnsi="Bookman Old Style" w:cs="TimesNewRomanPSMT"/>
          <w:sz w:val="24"/>
          <w:szCs w:val="24"/>
        </w:rPr>
        <w:t>Τ</w:t>
      </w:r>
      <w:r w:rsidRPr="008E4CDF">
        <w:rPr>
          <w:rFonts w:ascii="Bookman Old Style" w:hAnsi="Bookman Old Style" w:cs="TimesNewRomanPSMT"/>
          <w:sz w:val="24"/>
          <w:szCs w:val="24"/>
        </w:rPr>
        <w:t xml:space="preserve">ράπεζες </w:t>
      </w:r>
      <w:r w:rsidR="00CE42E4">
        <w:rPr>
          <w:rFonts w:ascii="Bookman Old Style" w:hAnsi="Bookman Old Style" w:cs="TimesNewRomanPSMT"/>
          <w:sz w:val="24"/>
          <w:szCs w:val="24"/>
        </w:rPr>
        <w:t>Α</w:t>
      </w:r>
      <w:r w:rsidRPr="008E4CDF">
        <w:rPr>
          <w:rFonts w:ascii="Bookman Old Style" w:hAnsi="Bookman Old Style" w:cs="TimesNewRomanPSMT"/>
          <w:sz w:val="24"/>
          <w:szCs w:val="24"/>
        </w:rPr>
        <w:t>ν</w:t>
      </w:r>
      <w:r w:rsidR="00541497">
        <w:rPr>
          <w:rFonts w:ascii="Bookman Old Style" w:hAnsi="Bookman Old Style" w:cs="TimesNewRomanPSMT"/>
          <w:sz w:val="24"/>
          <w:szCs w:val="24"/>
        </w:rPr>
        <w:t>άπτυξης</w:t>
      </w:r>
      <w:r w:rsidRPr="008E4CDF">
        <w:rPr>
          <w:rFonts w:ascii="Bookman Old Style" w:hAnsi="Bookman Old Style" w:cs="TimesNewRomanPSMT"/>
          <w:sz w:val="24"/>
          <w:szCs w:val="24"/>
        </w:rPr>
        <w:t xml:space="preserve"> που έχουν την έδρα τους εντός της </w:t>
      </w:r>
      <w:r w:rsidR="00541497">
        <w:rPr>
          <w:rFonts w:ascii="Bookman Old Style" w:hAnsi="Bookman Old Style" w:cs="TimesNewRomanPSMT"/>
          <w:sz w:val="24"/>
          <w:szCs w:val="24"/>
        </w:rPr>
        <w:t>Ευρωζώνης</w:t>
      </w:r>
      <w:r w:rsidRPr="008E4CDF">
        <w:rPr>
          <w:rFonts w:ascii="Bookman Old Style" w:hAnsi="Bookman Old Style" w:cs="TimesNewRomanPSMT"/>
          <w:sz w:val="24"/>
          <w:szCs w:val="24"/>
        </w:rPr>
        <w:t xml:space="preserve">. </w:t>
      </w:r>
      <w:r w:rsidR="00541497">
        <w:rPr>
          <w:rFonts w:ascii="Bookman Old Style" w:hAnsi="Bookman Old Style" w:cs="TimesNewRomanPSMT"/>
          <w:sz w:val="24"/>
          <w:szCs w:val="24"/>
        </w:rPr>
        <w:t>Διευκρινίζεται ότι τ</w:t>
      </w:r>
      <w:r w:rsidRPr="008E4CDF">
        <w:rPr>
          <w:rFonts w:ascii="Bookman Old Style" w:hAnsi="Bookman Old Style" w:cs="TimesNewRomanPSMT"/>
          <w:sz w:val="24"/>
          <w:szCs w:val="24"/>
        </w:rPr>
        <w:t xml:space="preserve">ο </w:t>
      </w:r>
      <w:r w:rsidR="00541497">
        <w:rPr>
          <w:rFonts w:ascii="Bookman Old Style" w:hAnsi="Bookman Old Style" w:cs="TimesNewRomanPSMT"/>
          <w:sz w:val="24"/>
          <w:szCs w:val="24"/>
        </w:rPr>
        <w:t>«</w:t>
      </w:r>
      <w:r w:rsidRPr="008E4CDF">
        <w:rPr>
          <w:rFonts w:ascii="Bookman Old Style" w:hAnsi="Bookman Old Style" w:cs="TimesNewRomanPSMT"/>
          <w:sz w:val="24"/>
          <w:szCs w:val="24"/>
        </w:rPr>
        <w:t>PSPP</w:t>
      </w:r>
      <w:r w:rsidR="00541497">
        <w:rPr>
          <w:rFonts w:ascii="Bookman Old Style" w:hAnsi="Bookman Old Style" w:cs="TimesNewRomanPSMT"/>
          <w:sz w:val="24"/>
          <w:szCs w:val="24"/>
        </w:rPr>
        <w:t>»</w:t>
      </w:r>
      <w:r w:rsidRPr="008E4CDF">
        <w:rPr>
          <w:rFonts w:ascii="Bookman Old Style" w:hAnsi="Bookman Old Style" w:cs="TimesNewRomanPSMT"/>
          <w:sz w:val="24"/>
          <w:szCs w:val="24"/>
        </w:rPr>
        <w:t xml:space="preserve"> αποτελεί το συντριπτικά μεγαλύτερο μέρος του </w:t>
      </w:r>
      <w:r w:rsidR="00541497">
        <w:rPr>
          <w:rFonts w:ascii="Bookman Old Style" w:hAnsi="Bookman Old Style" w:cs="TimesNewRomanPSMT"/>
          <w:sz w:val="24"/>
          <w:szCs w:val="24"/>
        </w:rPr>
        <w:t>«</w:t>
      </w:r>
      <w:r w:rsidRPr="008E4CDF">
        <w:rPr>
          <w:rFonts w:ascii="Bookman Old Style" w:hAnsi="Bookman Old Style" w:cs="TimesNewRomanPSMT"/>
          <w:sz w:val="24"/>
          <w:szCs w:val="24"/>
        </w:rPr>
        <w:t>EAPP</w:t>
      </w:r>
      <w:r w:rsidR="00541497">
        <w:rPr>
          <w:rFonts w:ascii="Bookman Old Style" w:hAnsi="Bookman Old Style" w:cs="TimesNewRomanPSMT"/>
          <w:sz w:val="24"/>
          <w:szCs w:val="24"/>
        </w:rPr>
        <w:t>»</w:t>
      </w:r>
      <w:r w:rsidRPr="008E4CDF">
        <w:rPr>
          <w:rFonts w:ascii="Bookman Old Style" w:hAnsi="Bookman Old Style" w:cs="TimesNewRomanPSMT"/>
          <w:sz w:val="24"/>
          <w:szCs w:val="24"/>
        </w:rPr>
        <w:t xml:space="preserve">. </w:t>
      </w:r>
      <w:r w:rsidR="00541497">
        <w:rPr>
          <w:rFonts w:ascii="Bookman Old Style" w:hAnsi="Bookman Old Style" w:cs="TimesNewRomanPSMT"/>
          <w:sz w:val="24"/>
          <w:szCs w:val="24"/>
        </w:rPr>
        <w:t xml:space="preserve">Πραγματικά, </w:t>
      </w:r>
      <w:r w:rsidR="000052B1">
        <w:rPr>
          <w:rFonts w:ascii="Bookman Old Style" w:hAnsi="Bookman Old Style" w:cs="TimesNewRomanPSMT"/>
          <w:sz w:val="24"/>
          <w:szCs w:val="24"/>
        </w:rPr>
        <w:t>τ</w:t>
      </w:r>
      <w:r w:rsidRPr="008E4CDF">
        <w:rPr>
          <w:rFonts w:ascii="Bookman Old Style" w:hAnsi="Bookman Old Style" w:cs="TimesNewRomanPSMT"/>
          <w:sz w:val="24"/>
          <w:szCs w:val="24"/>
        </w:rPr>
        <w:t>ην 8η Νοεμβρίου</w:t>
      </w:r>
      <w:r>
        <w:rPr>
          <w:rFonts w:ascii="Bookman Old Style" w:hAnsi="Bookman Old Style" w:cs="TimesNewRomanPSMT"/>
          <w:sz w:val="24"/>
          <w:szCs w:val="24"/>
        </w:rPr>
        <w:t xml:space="preserve"> </w:t>
      </w:r>
      <w:r w:rsidRPr="008E4CDF">
        <w:rPr>
          <w:rFonts w:ascii="Bookman Old Style" w:hAnsi="Bookman Old Style" w:cs="TimesNewRomanPSMT"/>
          <w:sz w:val="24"/>
          <w:szCs w:val="24"/>
        </w:rPr>
        <w:t>2019</w:t>
      </w:r>
      <w:r w:rsidR="00541497">
        <w:rPr>
          <w:rFonts w:ascii="Bookman Old Style" w:hAnsi="Bookman Old Style" w:cs="TimesNewRomanPSMT"/>
          <w:sz w:val="24"/>
          <w:szCs w:val="24"/>
        </w:rPr>
        <w:t>,</w:t>
      </w:r>
      <w:r w:rsidRPr="008E4CDF">
        <w:rPr>
          <w:rFonts w:ascii="Bookman Old Style" w:hAnsi="Bookman Old Style" w:cs="TimesNewRomanPSMT"/>
          <w:sz w:val="24"/>
          <w:szCs w:val="24"/>
        </w:rPr>
        <w:t xml:space="preserve"> το Ευρωσύστημα είχε αγοράσει</w:t>
      </w:r>
      <w:r w:rsidR="00541497">
        <w:rPr>
          <w:rFonts w:ascii="Bookman Old Style" w:hAnsi="Bookman Old Style" w:cs="TimesNewRomanPSMT"/>
          <w:sz w:val="24"/>
          <w:szCs w:val="24"/>
        </w:rPr>
        <w:t>,</w:t>
      </w:r>
      <w:r w:rsidRPr="008E4CDF">
        <w:rPr>
          <w:rFonts w:ascii="Bookman Old Style" w:hAnsi="Bookman Old Style" w:cs="TimesNewRomanPSMT"/>
          <w:sz w:val="24"/>
          <w:szCs w:val="24"/>
        </w:rPr>
        <w:t xml:space="preserve"> στο πλαίσιο του </w:t>
      </w:r>
      <w:r w:rsidR="00541497">
        <w:rPr>
          <w:rFonts w:ascii="Bookman Old Style" w:hAnsi="Bookman Old Style" w:cs="TimesNewRomanPSMT"/>
          <w:sz w:val="24"/>
          <w:szCs w:val="24"/>
        </w:rPr>
        <w:t>«</w:t>
      </w:r>
      <w:r w:rsidRPr="008E4CDF">
        <w:rPr>
          <w:rFonts w:ascii="Bookman Old Style" w:hAnsi="Bookman Old Style" w:cs="TimesNewRomanPSMT"/>
          <w:sz w:val="24"/>
          <w:szCs w:val="24"/>
        </w:rPr>
        <w:t>EAPP</w:t>
      </w:r>
      <w:r w:rsidR="00541497">
        <w:rPr>
          <w:rFonts w:ascii="Bookman Old Style" w:hAnsi="Bookman Old Style" w:cs="TimesNewRomanPSMT"/>
          <w:sz w:val="24"/>
          <w:szCs w:val="24"/>
        </w:rPr>
        <w:t>»</w:t>
      </w:r>
      <w:r w:rsidR="000052B1">
        <w:rPr>
          <w:rFonts w:ascii="Bookman Old Style" w:hAnsi="Bookman Old Style" w:cs="TimesNewRomanPSMT"/>
          <w:sz w:val="24"/>
          <w:szCs w:val="24"/>
        </w:rPr>
        <w:t>,</w:t>
      </w:r>
      <w:r w:rsidRPr="008E4CDF">
        <w:rPr>
          <w:rFonts w:ascii="Bookman Old Style" w:hAnsi="Bookman Old Style" w:cs="TimesNewRomanPSMT"/>
          <w:sz w:val="24"/>
          <w:szCs w:val="24"/>
        </w:rPr>
        <w:t xml:space="preserve"> τίτλους συνολικής αξίας 2.557.800</w:t>
      </w:r>
      <w:r>
        <w:rPr>
          <w:rFonts w:ascii="Bookman Old Style" w:hAnsi="Bookman Old Style" w:cs="TimesNewRomanPSMT"/>
          <w:sz w:val="24"/>
          <w:szCs w:val="24"/>
        </w:rPr>
        <w:t xml:space="preserve"> </w:t>
      </w:r>
      <w:r w:rsidRPr="008E4CDF">
        <w:rPr>
          <w:rFonts w:ascii="Bookman Old Style" w:hAnsi="Bookman Old Style" w:cs="TimesNewRomanPSMT"/>
          <w:sz w:val="24"/>
          <w:szCs w:val="24"/>
        </w:rPr>
        <w:t>εκατομμυρίων ευρώ (2,6 τρις), εκ των οποίων 2.088.100 (2,1 τρις) αγοράσ</w:t>
      </w:r>
      <w:r w:rsidR="00541497">
        <w:rPr>
          <w:rFonts w:ascii="Bookman Old Style" w:hAnsi="Bookman Old Style" w:cs="TimesNewRomanPSMT"/>
          <w:sz w:val="24"/>
          <w:szCs w:val="24"/>
        </w:rPr>
        <w:t>θ</w:t>
      </w:r>
      <w:r w:rsidRPr="008E4CDF">
        <w:rPr>
          <w:rFonts w:ascii="Bookman Old Style" w:hAnsi="Bookman Old Style" w:cs="TimesNewRomanPSMT"/>
          <w:sz w:val="24"/>
          <w:szCs w:val="24"/>
        </w:rPr>
        <w:t>ηκαν στο πλαίσιο του</w:t>
      </w:r>
      <w:r>
        <w:rPr>
          <w:rFonts w:ascii="Bookman Old Style" w:hAnsi="Bookman Old Style" w:cs="TimesNewRomanPSMT"/>
          <w:sz w:val="24"/>
          <w:szCs w:val="24"/>
        </w:rPr>
        <w:t xml:space="preserve"> </w:t>
      </w:r>
      <w:r w:rsidR="00541497">
        <w:rPr>
          <w:rFonts w:ascii="Bookman Old Style" w:hAnsi="Bookman Old Style" w:cs="TimesNewRomanPSMT"/>
          <w:sz w:val="24"/>
          <w:szCs w:val="24"/>
        </w:rPr>
        <w:t>«</w:t>
      </w:r>
      <w:r w:rsidRPr="008E4CDF">
        <w:rPr>
          <w:rFonts w:ascii="Bookman Old Style" w:hAnsi="Bookman Old Style" w:cs="TimesNewRomanPSMT"/>
          <w:sz w:val="24"/>
          <w:szCs w:val="24"/>
        </w:rPr>
        <w:t>PSPP</w:t>
      </w:r>
      <w:r w:rsidR="00541497">
        <w:rPr>
          <w:rFonts w:ascii="Bookman Old Style" w:hAnsi="Bookman Old Style" w:cs="TimesNewRomanPSMT"/>
          <w:sz w:val="24"/>
          <w:szCs w:val="24"/>
        </w:rPr>
        <w:t>»</w:t>
      </w:r>
      <w:r w:rsidRPr="008E4CDF">
        <w:rPr>
          <w:rFonts w:ascii="Bookman Old Style" w:hAnsi="Bookman Old Style" w:cs="TimesNewRomanPSMT"/>
          <w:sz w:val="24"/>
          <w:szCs w:val="24"/>
        </w:rPr>
        <w:t>.</w:t>
      </w:r>
    </w:p>
    <w:p w:rsidR="00541497" w:rsidRDefault="00541497" w:rsidP="00303AFA">
      <w:pPr>
        <w:pStyle w:val="a3"/>
        <w:numPr>
          <w:ilvl w:val="0"/>
          <w:numId w:val="6"/>
        </w:numPr>
        <w:autoSpaceDE w:val="0"/>
        <w:autoSpaceDN w:val="0"/>
        <w:adjustRightInd w:val="0"/>
        <w:spacing w:before="240" w:line="360" w:lineRule="auto"/>
        <w:ind w:left="851" w:hanging="284"/>
        <w:contextualSpacing w:val="0"/>
        <w:jc w:val="both"/>
        <w:rPr>
          <w:rFonts w:ascii="Bookman Old Style" w:hAnsi="Bookman Old Style" w:cs="TimesNewRomanPSMT"/>
          <w:sz w:val="24"/>
          <w:szCs w:val="24"/>
        </w:rPr>
      </w:pPr>
      <w:r>
        <w:rPr>
          <w:rFonts w:ascii="Bookman Old Style" w:hAnsi="Bookman Old Style" w:cs="TimesNewRomanPSMT"/>
          <w:b/>
          <w:sz w:val="24"/>
          <w:szCs w:val="24"/>
        </w:rPr>
        <w:t>Οι ισχυρισμοί των προσφευγόντων, το προδικαστικό ερώτημα και η απόφαση.</w:t>
      </w:r>
    </w:p>
    <w:p w:rsidR="00F2269A" w:rsidRPr="00541497" w:rsidRDefault="00F2269A" w:rsidP="00303AFA">
      <w:pPr>
        <w:autoSpaceDE w:val="0"/>
        <w:autoSpaceDN w:val="0"/>
        <w:adjustRightInd w:val="0"/>
        <w:spacing w:before="240" w:line="360" w:lineRule="auto"/>
        <w:ind w:left="720"/>
        <w:jc w:val="both"/>
        <w:rPr>
          <w:rFonts w:ascii="Bookman Old Style" w:hAnsi="Bookman Old Style" w:cs="TimesNewRomanPSMT"/>
          <w:sz w:val="24"/>
          <w:szCs w:val="24"/>
        </w:rPr>
      </w:pPr>
      <w:r w:rsidRPr="00541497">
        <w:rPr>
          <w:rFonts w:ascii="Bookman Old Style" w:hAnsi="Bookman Old Style" w:cs="TimesNewRomanPSMT"/>
          <w:sz w:val="24"/>
          <w:szCs w:val="24"/>
        </w:rPr>
        <w:lastRenderedPageBreak/>
        <w:t>Οι προσφεύγοντες ισχυρίζοντα</w:t>
      </w:r>
      <w:r w:rsidR="000052B1">
        <w:rPr>
          <w:rFonts w:ascii="Bookman Old Style" w:hAnsi="Bookman Old Style" w:cs="TimesNewRomanPSMT"/>
          <w:sz w:val="24"/>
          <w:szCs w:val="24"/>
        </w:rPr>
        <w:t>ν</w:t>
      </w:r>
      <w:r w:rsidRPr="00541497">
        <w:rPr>
          <w:rFonts w:ascii="Bookman Old Style" w:hAnsi="Bookman Old Style" w:cs="TimesNewRomanPSMT"/>
          <w:sz w:val="24"/>
          <w:szCs w:val="24"/>
        </w:rPr>
        <w:t xml:space="preserve"> στις προσφυγές τους ότι το </w:t>
      </w:r>
      <w:r w:rsidR="00541497">
        <w:rPr>
          <w:rFonts w:ascii="Bookman Old Style" w:hAnsi="Bookman Old Style" w:cs="TimesNewRomanPSMT"/>
          <w:sz w:val="24"/>
          <w:szCs w:val="24"/>
        </w:rPr>
        <w:t>«</w:t>
      </w:r>
      <w:r w:rsidRPr="00541497">
        <w:rPr>
          <w:rFonts w:ascii="Bookman Old Style" w:hAnsi="Bookman Old Style" w:cs="TimesNewRomanPSMT"/>
          <w:sz w:val="24"/>
          <w:szCs w:val="24"/>
        </w:rPr>
        <w:t>PSPP</w:t>
      </w:r>
      <w:r w:rsidR="00541497">
        <w:rPr>
          <w:rFonts w:ascii="Bookman Old Style" w:hAnsi="Bookman Old Style" w:cs="TimesNewRomanPSMT"/>
          <w:sz w:val="24"/>
          <w:szCs w:val="24"/>
        </w:rPr>
        <w:t>»</w:t>
      </w:r>
      <w:r w:rsidRPr="00541497">
        <w:rPr>
          <w:rFonts w:ascii="Bookman Old Style" w:hAnsi="Bookman Old Style" w:cs="TimesNewRomanPSMT"/>
          <w:sz w:val="24"/>
          <w:szCs w:val="24"/>
        </w:rPr>
        <w:t xml:space="preserve"> στοιχειοθετεί παράβαση της απαγόρευσης νομισματικής κρατικής χρηματοδότησης </w:t>
      </w:r>
      <w:r w:rsidR="00541497">
        <w:rPr>
          <w:rFonts w:ascii="Bookman Old Style" w:hAnsi="Bookman Old Style" w:cs="TimesNewRomanPSMT"/>
          <w:sz w:val="24"/>
          <w:szCs w:val="24"/>
        </w:rPr>
        <w:t>-</w:t>
      </w:r>
      <w:r w:rsidRPr="00541497">
        <w:rPr>
          <w:rFonts w:ascii="Bookman Old Style" w:hAnsi="Bookman Old Style" w:cs="TimesNewRomanPSMT"/>
          <w:sz w:val="24"/>
          <w:szCs w:val="24"/>
        </w:rPr>
        <w:t>άρθρ</w:t>
      </w:r>
      <w:r w:rsidR="00C1677C">
        <w:rPr>
          <w:rFonts w:ascii="Bookman Old Style" w:hAnsi="Bookman Old Style" w:cs="TimesNewRomanPSMT"/>
          <w:sz w:val="24"/>
          <w:szCs w:val="24"/>
        </w:rPr>
        <w:t>ο</w:t>
      </w:r>
      <w:r w:rsidRPr="00541497">
        <w:rPr>
          <w:rFonts w:ascii="Bookman Old Style" w:hAnsi="Bookman Old Style" w:cs="TimesNewRomanPSMT"/>
          <w:sz w:val="24"/>
          <w:szCs w:val="24"/>
        </w:rPr>
        <w:t xml:space="preserve"> 123</w:t>
      </w:r>
      <w:r w:rsidR="00541497">
        <w:rPr>
          <w:rFonts w:ascii="Bookman Old Style" w:hAnsi="Bookman Old Style" w:cs="TimesNewRomanPSMT"/>
          <w:sz w:val="24"/>
          <w:szCs w:val="24"/>
        </w:rPr>
        <w:t xml:space="preserve"> της</w:t>
      </w:r>
      <w:r w:rsidRPr="00541497">
        <w:rPr>
          <w:rFonts w:ascii="Bookman Old Style" w:hAnsi="Bookman Old Style" w:cs="TimesNewRomanPSMT"/>
          <w:sz w:val="24"/>
          <w:szCs w:val="24"/>
        </w:rPr>
        <w:t xml:space="preserve"> ΣΛΕΕ</w:t>
      </w:r>
      <w:r w:rsidR="00541497">
        <w:rPr>
          <w:rFonts w:ascii="Bookman Old Style" w:hAnsi="Bookman Old Style" w:cs="TimesNewRomanPSMT"/>
          <w:sz w:val="24"/>
          <w:szCs w:val="24"/>
        </w:rPr>
        <w:t>-</w:t>
      </w:r>
      <w:r w:rsidRPr="00541497">
        <w:rPr>
          <w:rFonts w:ascii="Bookman Old Style" w:hAnsi="Bookman Old Style" w:cs="TimesNewRomanPSMT"/>
          <w:sz w:val="24"/>
          <w:szCs w:val="24"/>
        </w:rPr>
        <w:t xml:space="preserve"> και της αρχής της δοτής αρμοδιότητας </w:t>
      </w:r>
      <w:r w:rsidR="00541497">
        <w:rPr>
          <w:rFonts w:ascii="Bookman Old Style" w:hAnsi="Bookman Old Style" w:cs="TimesNewRomanPSMT"/>
          <w:sz w:val="24"/>
          <w:szCs w:val="24"/>
        </w:rPr>
        <w:t>-</w:t>
      </w:r>
      <w:r w:rsidRPr="00541497">
        <w:rPr>
          <w:rFonts w:ascii="Bookman Old Style" w:hAnsi="Bookman Old Style" w:cs="TimesNewRomanPSMT"/>
          <w:sz w:val="24"/>
          <w:szCs w:val="24"/>
        </w:rPr>
        <w:t xml:space="preserve">άρθρο 5 παρ. 1 </w:t>
      </w:r>
      <w:r w:rsidR="00541497">
        <w:rPr>
          <w:rFonts w:ascii="Bookman Old Style" w:hAnsi="Bookman Old Style" w:cs="TimesNewRomanPSMT"/>
          <w:sz w:val="24"/>
          <w:szCs w:val="24"/>
        </w:rPr>
        <w:t xml:space="preserve">της </w:t>
      </w:r>
      <w:r w:rsidRPr="00541497">
        <w:rPr>
          <w:rFonts w:ascii="Bookman Old Style" w:hAnsi="Bookman Old Style" w:cs="TimesNewRomanPSMT"/>
          <w:sz w:val="24"/>
          <w:szCs w:val="24"/>
        </w:rPr>
        <w:t>ΣΕΕ σε συνδυασμό με</w:t>
      </w:r>
      <w:r w:rsidR="00541497">
        <w:rPr>
          <w:rFonts w:ascii="Bookman Old Style" w:hAnsi="Bookman Old Style" w:cs="TimesNewRomanPSMT"/>
          <w:sz w:val="24"/>
          <w:szCs w:val="24"/>
        </w:rPr>
        <w:t xml:space="preserve"> τα </w:t>
      </w:r>
      <w:r w:rsidRPr="00541497">
        <w:rPr>
          <w:rFonts w:ascii="Bookman Old Style" w:hAnsi="Bookman Old Style" w:cs="TimesNewRomanPSMT"/>
          <w:sz w:val="24"/>
          <w:szCs w:val="24"/>
        </w:rPr>
        <w:t>άρθρ</w:t>
      </w:r>
      <w:r w:rsidR="00541497">
        <w:rPr>
          <w:rFonts w:ascii="Bookman Old Style" w:hAnsi="Bookman Old Style" w:cs="TimesNewRomanPSMT"/>
          <w:sz w:val="24"/>
          <w:szCs w:val="24"/>
        </w:rPr>
        <w:t>α</w:t>
      </w:r>
      <w:r w:rsidRPr="00541497">
        <w:rPr>
          <w:rFonts w:ascii="Bookman Old Style" w:hAnsi="Bookman Old Style" w:cs="TimesNewRomanPSMT"/>
          <w:sz w:val="24"/>
          <w:szCs w:val="24"/>
        </w:rPr>
        <w:t xml:space="preserve"> 119 και 127</w:t>
      </w:r>
      <w:r w:rsidR="00541497">
        <w:rPr>
          <w:rFonts w:ascii="Bookman Old Style" w:hAnsi="Bookman Old Style" w:cs="TimesNewRomanPSMT"/>
          <w:sz w:val="24"/>
          <w:szCs w:val="24"/>
        </w:rPr>
        <w:t xml:space="preserve"> </w:t>
      </w:r>
      <w:r w:rsidRPr="00541497">
        <w:rPr>
          <w:rFonts w:ascii="Bookman Old Style" w:hAnsi="Bookman Old Style" w:cs="TimesNewRomanPSMT"/>
          <w:sz w:val="24"/>
          <w:szCs w:val="24"/>
        </w:rPr>
        <w:t>επ.</w:t>
      </w:r>
      <w:r w:rsidR="00541497">
        <w:rPr>
          <w:rFonts w:ascii="Bookman Old Style" w:hAnsi="Bookman Old Style" w:cs="TimesNewRomanPSMT"/>
          <w:sz w:val="24"/>
          <w:szCs w:val="24"/>
        </w:rPr>
        <w:t xml:space="preserve"> της</w:t>
      </w:r>
      <w:r w:rsidRPr="00541497">
        <w:rPr>
          <w:rFonts w:ascii="Bookman Old Style" w:hAnsi="Bookman Old Style" w:cs="TimesNewRomanPSMT"/>
          <w:sz w:val="24"/>
          <w:szCs w:val="24"/>
        </w:rPr>
        <w:t xml:space="preserve"> ΣΛΕΕ. Με </w:t>
      </w:r>
      <w:r w:rsidR="000052B1">
        <w:rPr>
          <w:rFonts w:ascii="Bookman Old Style" w:hAnsi="Bookman Old Style" w:cs="TimesNewRomanPSMT"/>
          <w:sz w:val="24"/>
          <w:szCs w:val="24"/>
        </w:rPr>
        <w:t>προδικαστικό ερώτημα</w:t>
      </w:r>
      <w:r w:rsidRPr="00541497">
        <w:rPr>
          <w:rFonts w:ascii="Bookman Old Style" w:hAnsi="Bookman Old Style" w:cs="TimesNewRomanPSMT"/>
          <w:sz w:val="24"/>
          <w:szCs w:val="24"/>
        </w:rPr>
        <w:t xml:space="preserve"> της 18ης Ιουλίου 2017</w:t>
      </w:r>
      <w:r w:rsidR="00541497">
        <w:rPr>
          <w:rFonts w:ascii="Bookman Old Style" w:hAnsi="Bookman Old Style" w:cs="TimesNewRomanPSMT"/>
          <w:sz w:val="24"/>
          <w:szCs w:val="24"/>
        </w:rPr>
        <w:t>,</w:t>
      </w:r>
      <w:r w:rsidRPr="00541497">
        <w:rPr>
          <w:rFonts w:ascii="Bookman Old Style" w:hAnsi="Bookman Old Style" w:cs="TimesNewRomanPSMT"/>
          <w:sz w:val="24"/>
          <w:szCs w:val="24"/>
        </w:rPr>
        <w:t xml:space="preserve"> το Ομοσπονδιακό Συνταγματικό Δικαστήριο της Γερμανίας έθεσε σειρά προδικαστικών </w:t>
      </w:r>
      <w:r w:rsidR="000052B1">
        <w:rPr>
          <w:rFonts w:ascii="Bookman Old Style" w:hAnsi="Bookman Old Style" w:cs="TimesNewRomanPSMT"/>
          <w:sz w:val="24"/>
          <w:szCs w:val="24"/>
        </w:rPr>
        <w:t>ζητημάτων</w:t>
      </w:r>
      <w:r w:rsidRPr="00541497">
        <w:rPr>
          <w:rFonts w:ascii="Bookman Old Style" w:hAnsi="Bookman Old Style" w:cs="TimesNewRomanPSMT"/>
          <w:sz w:val="24"/>
          <w:szCs w:val="24"/>
        </w:rPr>
        <w:t xml:space="preserve"> στο ΔΕΕ, τα οποία αφορούσαν ιδίως την απαγόρευση νομισματικής κρατικής χρηματοδότησης, την αρμοδιότητα της ΕΚΤ για την άσκηση νομισματικής πολιτικής και μια πιθανή υπέρβαση της εξουσίας της σε βάρος των αρμοδιοτήτων των </w:t>
      </w:r>
      <w:r w:rsidR="00541497">
        <w:rPr>
          <w:rFonts w:ascii="Bookman Old Style" w:hAnsi="Bookman Old Style" w:cs="TimesNewRomanPSMT"/>
          <w:sz w:val="24"/>
          <w:szCs w:val="24"/>
        </w:rPr>
        <w:t>Κ</w:t>
      </w:r>
      <w:r w:rsidRPr="00541497">
        <w:rPr>
          <w:rFonts w:ascii="Bookman Old Style" w:hAnsi="Bookman Old Style" w:cs="TimesNewRomanPSMT"/>
          <w:sz w:val="24"/>
          <w:szCs w:val="24"/>
        </w:rPr>
        <w:t>ρατών</w:t>
      </w:r>
      <w:r w:rsidR="00541497">
        <w:rPr>
          <w:rFonts w:ascii="Bookman Old Style" w:hAnsi="Bookman Old Style" w:cs="TimesNewRomanPSMT"/>
          <w:sz w:val="24"/>
          <w:szCs w:val="24"/>
        </w:rPr>
        <w:t>-Μ</w:t>
      </w:r>
      <w:r w:rsidRPr="00541497">
        <w:rPr>
          <w:rFonts w:ascii="Bookman Old Style" w:hAnsi="Bookman Old Style" w:cs="TimesNewRomanPSMT"/>
          <w:sz w:val="24"/>
          <w:szCs w:val="24"/>
        </w:rPr>
        <w:t>ελών και τη</w:t>
      </w:r>
      <w:r w:rsidR="00541497">
        <w:rPr>
          <w:rFonts w:ascii="Bookman Old Style" w:hAnsi="Bookman Old Style" w:cs="TimesNewRomanPSMT"/>
          <w:sz w:val="24"/>
          <w:szCs w:val="24"/>
        </w:rPr>
        <w:t>ς</w:t>
      </w:r>
      <w:r w:rsidRPr="00541497">
        <w:rPr>
          <w:rFonts w:ascii="Bookman Old Style" w:hAnsi="Bookman Old Style" w:cs="TimesNewRomanPSMT"/>
          <w:sz w:val="24"/>
          <w:szCs w:val="24"/>
        </w:rPr>
        <w:t xml:space="preserve"> δημοσιονομική</w:t>
      </w:r>
      <w:r w:rsidR="00541497">
        <w:rPr>
          <w:rFonts w:ascii="Bookman Old Style" w:hAnsi="Bookman Old Style" w:cs="TimesNewRomanPSMT"/>
          <w:sz w:val="24"/>
          <w:szCs w:val="24"/>
        </w:rPr>
        <w:t>ς</w:t>
      </w:r>
      <w:r w:rsidRPr="00541497">
        <w:rPr>
          <w:rFonts w:ascii="Bookman Old Style" w:hAnsi="Bookman Old Style" w:cs="TimesNewRomanPSMT"/>
          <w:sz w:val="24"/>
          <w:szCs w:val="24"/>
        </w:rPr>
        <w:t xml:space="preserve"> τους κυριαρχία</w:t>
      </w:r>
      <w:r w:rsidR="00541497">
        <w:rPr>
          <w:rFonts w:ascii="Bookman Old Style" w:hAnsi="Bookman Old Style" w:cs="TimesNewRomanPSMT"/>
          <w:sz w:val="24"/>
          <w:szCs w:val="24"/>
        </w:rPr>
        <w:t>ς</w:t>
      </w:r>
      <w:r w:rsidRPr="00541497">
        <w:rPr>
          <w:rFonts w:ascii="Bookman Old Style" w:hAnsi="Bookman Old Style" w:cs="TimesNewRomanPSMT"/>
          <w:sz w:val="24"/>
          <w:szCs w:val="24"/>
        </w:rPr>
        <w:t>. Με την απόφαση της 11ης Δεκεμβρίου 2018</w:t>
      </w:r>
      <w:r w:rsidR="00541497">
        <w:rPr>
          <w:rFonts w:ascii="Bookman Old Style" w:hAnsi="Bookman Old Style" w:cs="TimesNewRomanPSMT"/>
          <w:sz w:val="24"/>
          <w:szCs w:val="24"/>
        </w:rPr>
        <w:t>,</w:t>
      </w:r>
      <w:r w:rsidRPr="00541497">
        <w:rPr>
          <w:rFonts w:ascii="Bookman Old Style" w:hAnsi="Bookman Old Style" w:cs="TimesNewRomanPSMT"/>
          <w:sz w:val="24"/>
          <w:szCs w:val="24"/>
        </w:rPr>
        <w:t xml:space="preserve"> το ΔΕΕ έκρινε ότι το </w:t>
      </w:r>
      <w:r w:rsidR="00541497">
        <w:rPr>
          <w:rFonts w:ascii="Bookman Old Style" w:hAnsi="Bookman Old Style" w:cs="TimesNewRomanPSMT"/>
          <w:sz w:val="24"/>
          <w:szCs w:val="24"/>
        </w:rPr>
        <w:t>«</w:t>
      </w:r>
      <w:r w:rsidRPr="00541497">
        <w:rPr>
          <w:rFonts w:ascii="Bookman Old Style" w:hAnsi="Bookman Old Style" w:cs="TimesNewRomanPSMT"/>
          <w:sz w:val="24"/>
          <w:szCs w:val="24"/>
        </w:rPr>
        <w:t>PSPP</w:t>
      </w:r>
      <w:r w:rsidR="00541497">
        <w:rPr>
          <w:rFonts w:ascii="Bookman Old Style" w:hAnsi="Bookman Old Style" w:cs="TimesNewRomanPSMT"/>
          <w:sz w:val="24"/>
          <w:szCs w:val="24"/>
        </w:rPr>
        <w:t>»</w:t>
      </w:r>
      <w:r w:rsidRPr="00541497">
        <w:rPr>
          <w:rFonts w:ascii="Bookman Old Style" w:hAnsi="Bookman Old Style" w:cs="TimesNewRomanPSMT"/>
          <w:sz w:val="24"/>
          <w:szCs w:val="24"/>
        </w:rPr>
        <w:t xml:space="preserve"> δεν υπερβαίνει τις αρμοδιότητες της ΕΚΤ και δεν παραβιάζει την απαγόρευση νομισματικής χρηματοδότησης των </w:t>
      </w:r>
      <w:r w:rsidR="00541497">
        <w:rPr>
          <w:rFonts w:ascii="Bookman Old Style" w:hAnsi="Bookman Old Style" w:cs="TimesNewRomanPSMT"/>
          <w:sz w:val="24"/>
          <w:szCs w:val="24"/>
        </w:rPr>
        <w:t>Κ</w:t>
      </w:r>
      <w:r w:rsidRPr="00541497">
        <w:rPr>
          <w:rFonts w:ascii="Bookman Old Style" w:hAnsi="Bookman Old Style" w:cs="TimesNewRomanPSMT"/>
          <w:sz w:val="24"/>
          <w:szCs w:val="24"/>
        </w:rPr>
        <w:t>ρατών</w:t>
      </w:r>
      <w:r w:rsidR="00541497">
        <w:rPr>
          <w:rFonts w:ascii="Bookman Old Style" w:hAnsi="Bookman Old Style" w:cs="TimesNewRomanPSMT"/>
          <w:sz w:val="24"/>
          <w:szCs w:val="24"/>
        </w:rPr>
        <w:t>-Μ</w:t>
      </w:r>
      <w:r w:rsidRPr="00541497">
        <w:rPr>
          <w:rFonts w:ascii="Bookman Old Style" w:hAnsi="Bookman Old Style" w:cs="TimesNewRomanPSMT"/>
          <w:sz w:val="24"/>
          <w:szCs w:val="24"/>
        </w:rPr>
        <w:t xml:space="preserve">ελών. </w:t>
      </w:r>
      <w:r w:rsidR="00541497">
        <w:rPr>
          <w:rFonts w:ascii="Bookman Old Style" w:hAnsi="Bookman Old Style" w:cs="TimesNewRomanPSMT"/>
          <w:sz w:val="24"/>
          <w:szCs w:val="24"/>
        </w:rPr>
        <w:t>Στην συνέχεια</w:t>
      </w:r>
      <w:r w:rsidRPr="00541497">
        <w:rPr>
          <w:rFonts w:ascii="Bookman Old Style" w:hAnsi="Bookman Old Style" w:cs="TimesNewRomanPSMT"/>
          <w:sz w:val="24"/>
          <w:szCs w:val="24"/>
        </w:rPr>
        <w:t xml:space="preserve"> η προφορική διαδικασία ενώπιον του Ομοσπονδιακ</w:t>
      </w:r>
      <w:r w:rsidR="000052B1">
        <w:rPr>
          <w:rFonts w:ascii="Bookman Old Style" w:hAnsi="Bookman Old Style" w:cs="TimesNewRomanPSMT"/>
          <w:sz w:val="24"/>
          <w:szCs w:val="24"/>
        </w:rPr>
        <w:t>ού</w:t>
      </w:r>
      <w:r w:rsidRPr="00541497">
        <w:rPr>
          <w:rFonts w:ascii="Bookman Old Style" w:hAnsi="Bookman Old Style" w:cs="TimesNewRomanPSMT"/>
          <w:sz w:val="24"/>
          <w:szCs w:val="24"/>
        </w:rPr>
        <w:t xml:space="preserve"> Συνταγματικ</w:t>
      </w:r>
      <w:r w:rsidR="000052B1">
        <w:rPr>
          <w:rFonts w:ascii="Bookman Old Style" w:hAnsi="Bookman Old Style" w:cs="TimesNewRomanPSMT"/>
          <w:sz w:val="24"/>
          <w:szCs w:val="24"/>
        </w:rPr>
        <w:t>ού</w:t>
      </w:r>
      <w:r w:rsidRPr="00541497">
        <w:rPr>
          <w:rFonts w:ascii="Bookman Old Style" w:hAnsi="Bookman Old Style" w:cs="TimesNewRomanPSMT"/>
          <w:sz w:val="24"/>
          <w:szCs w:val="24"/>
        </w:rPr>
        <w:t xml:space="preserve"> Δικαστ</w:t>
      </w:r>
      <w:r w:rsidR="000052B1">
        <w:rPr>
          <w:rFonts w:ascii="Bookman Old Style" w:hAnsi="Bookman Old Style" w:cs="TimesNewRomanPSMT"/>
          <w:sz w:val="24"/>
          <w:szCs w:val="24"/>
        </w:rPr>
        <w:t>ηρίου</w:t>
      </w:r>
      <w:r w:rsidRPr="00541497">
        <w:rPr>
          <w:rFonts w:ascii="Bookman Old Style" w:hAnsi="Bookman Old Style" w:cs="TimesNewRomanPSMT"/>
          <w:sz w:val="24"/>
          <w:szCs w:val="24"/>
        </w:rPr>
        <w:t xml:space="preserve"> της Γερμανίας έλαβε χώρα την 30η και 31η Ιουλίου 2019.</w:t>
      </w:r>
    </w:p>
    <w:p w:rsidR="00F2269A" w:rsidRPr="008E4CDF" w:rsidRDefault="00F2269A" w:rsidP="00303AFA">
      <w:pPr>
        <w:autoSpaceDE w:val="0"/>
        <w:autoSpaceDN w:val="0"/>
        <w:adjustRightInd w:val="0"/>
        <w:spacing w:before="240" w:line="360" w:lineRule="auto"/>
        <w:ind w:left="284" w:hanging="284"/>
        <w:jc w:val="both"/>
        <w:rPr>
          <w:rFonts w:ascii="Bookman Old Style" w:hAnsi="Bookman Old Style" w:cs="TimesNewRomanPS-BoldMT"/>
          <w:b/>
          <w:bCs/>
          <w:sz w:val="24"/>
          <w:szCs w:val="24"/>
        </w:rPr>
      </w:pPr>
      <w:r>
        <w:rPr>
          <w:rFonts w:ascii="Bookman Old Style" w:hAnsi="Bookman Old Style" w:cs="TimesNewRomanPS-BoldMT"/>
          <w:b/>
          <w:bCs/>
          <w:sz w:val="24"/>
          <w:szCs w:val="24"/>
        </w:rPr>
        <w:t xml:space="preserve">Β. Τα βασικά </w:t>
      </w:r>
      <w:r>
        <w:rPr>
          <w:rFonts w:ascii="Bookman Old Style" w:hAnsi="Bookman Old Style" w:cs="TimesNewRomanPS-BoldMT"/>
          <w:b/>
          <w:bCs/>
          <w:sz w:val="24"/>
          <w:szCs w:val="24"/>
          <w:lang w:val="en-US"/>
        </w:rPr>
        <w:t>obiter</w:t>
      </w:r>
      <w:r w:rsidRPr="008E4CDF">
        <w:rPr>
          <w:rFonts w:ascii="Bookman Old Style" w:hAnsi="Bookman Old Style" w:cs="TimesNewRomanPS-BoldMT"/>
          <w:b/>
          <w:bCs/>
          <w:sz w:val="24"/>
          <w:szCs w:val="24"/>
        </w:rPr>
        <w:t xml:space="preserve"> </w:t>
      </w:r>
      <w:r>
        <w:rPr>
          <w:rFonts w:ascii="Bookman Old Style" w:hAnsi="Bookman Old Style" w:cs="TimesNewRomanPS-BoldMT"/>
          <w:b/>
          <w:bCs/>
          <w:sz w:val="24"/>
          <w:szCs w:val="24"/>
          <w:lang w:val="en-US"/>
        </w:rPr>
        <w:t>dicta</w:t>
      </w:r>
      <w:r w:rsidRPr="008E4CDF">
        <w:rPr>
          <w:rFonts w:ascii="Bookman Old Style" w:hAnsi="Bookman Old Style" w:cs="TimesNewRomanPS-BoldMT"/>
          <w:b/>
          <w:bCs/>
          <w:sz w:val="24"/>
          <w:szCs w:val="24"/>
        </w:rPr>
        <w:t xml:space="preserve"> </w:t>
      </w:r>
      <w:r>
        <w:rPr>
          <w:rFonts w:ascii="Bookman Old Style" w:hAnsi="Bookman Old Style" w:cs="TimesNewRomanPS-BoldMT"/>
          <w:b/>
          <w:bCs/>
          <w:sz w:val="24"/>
          <w:szCs w:val="24"/>
        </w:rPr>
        <w:t xml:space="preserve">της απόφασης του Ομοσπονδιακού Συνταγματικού Δικαστηρίου της Γερμανίας. </w:t>
      </w:r>
    </w:p>
    <w:p w:rsidR="00F2269A" w:rsidRPr="00FE5CA3" w:rsidRDefault="006C15F2" w:rsidP="00303AFA">
      <w:pPr>
        <w:autoSpaceDE w:val="0"/>
        <w:autoSpaceDN w:val="0"/>
        <w:adjustRightInd w:val="0"/>
        <w:spacing w:before="240" w:line="360" w:lineRule="auto"/>
        <w:ind w:left="284"/>
        <w:jc w:val="both"/>
        <w:rPr>
          <w:rFonts w:ascii="Bookman Old Style" w:hAnsi="Bookman Old Style" w:cs="TimesNewRomanPSMT"/>
          <w:sz w:val="24"/>
          <w:szCs w:val="24"/>
        </w:rPr>
      </w:pPr>
      <w:r>
        <w:rPr>
          <w:rFonts w:ascii="Bookman Old Style" w:hAnsi="Bookman Old Style" w:cs="TimesNewRomanPSMT"/>
          <w:sz w:val="24"/>
          <w:szCs w:val="24"/>
        </w:rPr>
        <w:t>Κατά τα κριθέντα από το Ομοσπονδιακό Συνταγματικό Δικαστήριο της Γερμανίας, η</w:t>
      </w:r>
      <w:r w:rsidR="00F2269A" w:rsidRPr="00FE5CA3">
        <w:rPr>
          <w:rFonts w:ascii="Bookman Old Style" w:hAnsi="Bookman Old Style" w:cs="TimesNewRomanPSMT"/>
          <w:sz w:val="24"/>
          <w:szCs w:val="24"/>
        </w:rPr>
        <w:t xml:space="preserve"> απόφαση της ΕΚΤ της 4ης Μαρτίου 2015 </w:t>
      </w:r>
      <w:r>
        <w:rPr>
          <w:rFonts w:ascii="Bookman Old Style" w:hAnsi="Bookman Old Style" w:cs="TimesNewRomanPSMT"/>
          <w:sz w:val="24"/>
          <w:szCs w:val="24"/>
        </w:rPr>
        <w:t>–(</w:t>
      </w:r>
      <w:r w:rsidR="00F2269A" w:rsidRPr="00FE5CA3">
        <w:rPr>
          <w:rFonts w:ascii="Bookman Old Style" w:hAnsi="Bookman Old Style" w:cs="TimesNewRomanPSMT"/>
          <w:sz w:val="24"/>
          <w:szCs w:val="24"/>
        </w:rPr>
        <w:t>EU) 2015/774</w:t>
      </w:r>
      <w:r>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και οι μεταγενέστερες αποφάσεις</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(EU) 2015/2101, (EU) 2015/2464</w:t>
      </w:r>
      <w:r w:rsidR="00CE42E4">
        <w:rPr>
          <w:rFonts w:ascii="Bookman Old Style" w:hAnsi="Bookman Old Style" w:cs="TimesNewRomanPSMT"/>
          <w:sz w:val="24"/>
          <w:szCs w:val="24"/>
        </w:rPr>
        <w:t>,</w:t>
      </w:r>
      <w:r>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 (EU) 2016/702 και (EU) 2010/100</w:t>
      </w:r>
      <w:r>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συνιστούν, ενόψει </w:t>
      </w:r>
      <w:r>
        <w:rPr>
          <w:rFonts w:ascii="Bookman Old Style" w:hAnsi="Bookman Old Style" w:cs="TimesNewRomanPSMT"/>
          <w:sz w:val="24"/>
          <w:szCs w:val="24"/>
        </w:rPr>
        <w:t xml:space="preserve">των διατάξεων </w:t>
      </w:r>
      <w:r w:rsidR="00F2269A" w:rsidRPr="00FE5CA3">
        <w:rPr>
          <w:rFonts w:ascii="Bookman Old Style" w:hAnsi="Bookman Old Style" w:cs="TimesNewRomanPSMT"/>
          <w:sz w:val="24"/>
          <w:szCs w:val="24"/>
        </w:rPr>
        <w:t>των</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άρθρων 119 και 127 επ. </w:t>
      </w:r>
      <w:r>
        <w:rPr>
          <w:rFonts w:ascii="Bookman Old Style" w:hAnsi="Bookman Old Style" w:cs="TimesNewRomanPSMT"/>
          <w:sz w:val="24"/>
          <w:szCs w:val="24"/>
        </w:rPr>
        <w:t xml:space="preserve">της </w:t>
      </w:r>
      <w:r w:rsidR="00F2269A" w:rsidRPr="00FE5CA3">
        <w:rPr>
          <w:rFonts w:ascii="Bookman Old Style" w:hAnsi="Bookman Old Style" w:cs="TimesNewRomanPSMT"/>
          <w:sz w:val="24"/>
          <w:szCs w:val="24"/>
        </w:rPr>
        <w:t xml:space="preserve">ΣΛΕΕ και </w:t>
      </w:r>
      <w:r w:rsidR="00CE42E4">
        <w:rPr>
          <w:rFonts w:ascii="Bookman Old Style" w:hAnsi="Bookman Old Style" w:cs="TimesNewRomanPSMT"/>
          <w:sz w:val="24"/>
          <w:szCs w:val="24"/>
        </w:rPr>
        <w:t>των άρθρων</w:t>
      </w:r>
      <w:r w:rsidR="00F2269A" w:rsidRPr="00FE5CA3">
        <w:rPr>
          <w:rFonts w:ascii="Bookman Old Style" w:hAnsi="Bookman Old Style" w:cs="TimesNewRomanPSMT"/>
          <w:sz w:val="24"/>
          <w:szCs w:val="24"/>
        </w:rPr>
        <w:t xml:space="preserve"> 17 επ. του Κανονισμού ΕΚΤ</w:t>
      </w:r>
      <w:r>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και παρά τις περί του</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αντιθέτου κρίσεις του ΔΕΕ, μέτρα </w:t>
      </w:r>
      <w:r>
        <w:rPr>
          <w:rFonts w:ascii="Bookman Old Style" w:hAnsi="Bookman Old Style" w:cs="TimesNewRomanPSMT"/>
          <w:sz w:val="24"/>
          <w:szCs w:val="24"/>
        </w:rPr>
        <w:t>«</w:t>
      </w:r>
      <w:r w:rsidR="00F2269A" w:rsidRPr="00FE5CA3">
        <w:rPr>
          <w:rFonts w:ascii="Bookman Old Style" w:hAnsi="Bookman Old Style" w:cs="TimesNewRomanPSMT"/>
          <w:sz w:val="24"/>
          <w:szCs w:val="24"/>
        </w:rPr>
        <w:t>ultra-vires</w:t>
      </w:r>
      <w:r>
        <w:rPr>
          <w:rFonts w:ascii="Bookman Old Style" w:hAnsi="Bookman Old Style" w:cs="TimesNewRomanPSMT"/>
          <w:sz w:val="24"/>
          <w:szCs w:val="24"/>
        </w:rPr>
        <w:t>»</w:t>
      </w:r>
      <w:r w:rsidR="00F2269A" w:rsidRPr="00FE5CA3">
        <w:rPr>
          <w:rFonts w:ascii="Bookman Old Style" w:hAnsi="Bookman Old Style" w:cs="TimesNewRomanPSMT"/>
          <w:sz w:val="24"/>
          <w:szCs w:val="24"/>
        </w:rPr>
        <w:t>.</w:t>
      </w:r>
      <w:r>
        <w:rPr>
          <w:rFonts w:ascii="Bookman Old Style" w:hAnsi="Bookman Old Style" w:cs="TimesNewRomanPSMT"/>
          <w:sz w:val="24"/>
          <w:szCs w:val="24"/>
        </w:rPr>
        <w:t xml:space="preserve"> Το Ομοσπονδιακό Συνταγματικό Δικαστήριο της Γερμανίας τεκμηρίωσε τις κρίσεις του ως εξής:</w:t>
      </w:r>
    </w:p>
    <w:p w:rsidR="006C15F2" w:rsidRDefault="006C15F2" w:rsidP="00303AFA">
      <w:pPr>
        <w:pStyle w:val="a3"/>
        <w:numPr>
          <w:ilvl w:val="0"/>
          <w:numId w:val="7"/>
        </w:numPr>
        <w:autoSpaceDE w:val="0"/>
        <w:autoSpaceDN w:val="0"/>
        <w:adjustRightInd w:val="0"/>
        <w:spacing w:before="240" w:line="360" w:lineRule="auto"/>
        <w:ind w:left="567" w:hanging="283"/>
        <w:contextualSpacing w:val="0"/>
        <w:jc w:val="both"/>
        <w:rPr>
          <w:rFonts w:ascii="Bookman Old Style" w:hAnsi="Bookman Old Style" w:cs="TimesNewRomanPSMT"/>
          <w:sz w:val="24"/>
          <w:szCs w:val="24"/>
        </w:rPr>
      </w:pPr>
      <w:r>
        <w:rPr>
          <w:rFonts w:ascii="Bookman Old Style" w:hAnsi="Bookman Old Style" w:cs="TimesNewRomanPSMT"/>
          <w:b/>
          <w:sz w:val="24"/>
          <w:szCs w:val="24"/>
        </w:rPr>
        <w:t>Η αρμοδιότητα του Ομοσπονδιακού Συνταγματικού Δικαστηρίου της Γερμανίας ως προς τον έλεγχο «</w:t>
      </w:r>
      <w:r>
        <w:rPr>
          <w:rFonts w:ascii="Bookman Old Style" w:hAnsi="Bookman Old Style" w:cs="TimesNewRomanPSMT"/>
          <w:b/>
          <w:sz w:val="24"/>
          <w:szCs w:val="24"/>
          <w:lang w:val="en-US"/>
        </w:rPr>
        <w:t>ultra</w:t>
      </w:r>
      <w:r w:rsidRPr="006C15F2">
        <w:rPr>
          <w:rFonts w:ascii="Bookman Old Style" w:hAnsi="Bookman Old Style" w:cs="TimesNewRomanPSMT"/>
          <w:b/>
          <w:sz w:val="24"/>
          <w:szCs w:val="24"/>
        </w:rPr>
        <w:t>-</w:t>
      </w:r>
      <w:r>
        <w:rPr>
          <w:rFonts w:ascii="Bookman Old Style" w:hAnsi="Bookman Old Style" w:cs="TimesNewRomanPSMT"/>
          <w:b/>
          <w:sz w:val="24"/>
          <w:szCs w:val="24"/>
          <w:lang w:val="en-US"/>
        </w:rPr>
        <w:t>vires</w:t>
      </w:r>
      <w:r>
        <w:rPr>
          <w:rFonts w:ascii="Bookman Old Style" w:hAnsi="Bookman Old Style" w:cs="TimesNewRomanPSMT"/>
          <w:b/>
          <w:sz w:val="24"/>
          <w:szCs w:val="24"/>
        </w:rPr>
        <w:t>» των οργάνων της Ευρωπαϊκής Ένωσης.</w:t>
      </w:r>
    </w:p>
    <w:p w:rsidR="00F2269A" w:rsidRPr="00057A81" w:rsidRDefault="00F2269A" w:rsidP="00303AFA">
      <w:pPr>
        <w:pStyle w:val="a3"/>
        <w:autoSpaceDE w:val="0"/>
        <w:autoSpaceDN w:val="0"/>
        <w:adjustRightInd w:val="0"/>
        <w:spacing w:before="240" w:line="360" w:lineRule="auto"/>
        <w:ind w:left="567"/>
        <w:contextualSpacing w:val="0"/>
        <w:jc w:val="both"/>
        <w:rPr>
          <w:rFonts w:ascii="Bookman Old Style" w:hAnsi="Bookman Old Style" w:cs="TimesNewRomanPSMT"/>
          <w:sz w:val="24"/>
          <w:szCs w:val="24"/>
        </w:rPr>
      </w:pPr>
      <w:r w:rsidRPr="00057A81">
        <w:rPr>
          <w:rFonts w:ascii="Bookman Old Style" w:hAnsi="Bookman Old Style" w:cs="TimesNewRomanPSMT"/>
          <w:sz w:val="24"/>
          <w:szCs w:val="24"/>
        </w:rPr>
        <w:lastRenderedPageBreak/>
        <w:t xml:space="preserve">Κατά την πάγια νομολογία του </w:t>
      </w:r>
      <w:r>
        <w:rPr>
          <w:rFonts w:ascii="Bookman Old Style" w:hAnsi="Bookman Old Style" w:cs="TimesNewRomanPSMT"/>
          <w:sz w:val="24"/>
          <w:szCs w:val="24"/>
        </w:rPr>
        <w:t>Ομοσπονδιακού Συνταγματικού Δικαστηρίου της Γερμανίας</w:t>
      </w:r>
      <w:r w:rsidRPr="00057A81">
        <w:rPr>
          <w:rFonts w:ascii="Bookman Old Style" w:hAnsi="Bookman Old Style" w:cs="TimesNewRomanPSMT"/>
          <w:sz w:val="24"/>
          <w:szCs w:val="24"/>
        </w:rPr>
        <w:t xml:space="preserve"> </w:t>
      </w:r>
      <w:r w:rsidR="006C15F2">
        <w:rPr>
          <w:rFonts w:ascii="Bookman Old Style" w:hAnsi="Bookman Old Style" w:cs="TimesNewRomanPSMT"/>
          <w:sz w:val="24"/>
          <w:szCs w:val="24"/>
        </w:rPr>
        <w:t>-</w:t>
      </w:r>
      <w:r w:rsidRPr="00057A81">
        <w:rPr>
          <w:rFonts w:ascii="Bookman Old Style" w:hAnsi="Bookman Old Style" w:cs="TimesNewRomanPSMT"/>
          <w:sz w:val="24"/>
          <w:szCs w:val="24"/>
        </w:rPr>
        <w:t xml:space="preserve">βλ. </w:t>
      </w:r>
      <w:r w:rsidRPr="007D6541">
        <w:rPr>
          <w:rFonts w:ascii="Bookman Old Style" w:hAnsi="Bookman Old Style" w:cs="TimesNewRomanPSMT"/>
          <w:sz w:val="24"/>
          <w:szCs w:val="24"/>
        </w:rPr>
        <w:t xml:space="preserve">Ομοσπονδιακό Συνταγματικό Δικαστήριο της Γερμανίας 126, 286 &lt;302 </w:t>
      </w:r>
      <w:r w:rsidRPr="00057A81">
        <w:rPr>
          <w:rFonts w:ascii="Bookman Old Style" w:hAnsi="Bookman Old Style" w:cs="TimesNewRomanPSMT"/>
          <w:sz w:val="24"/>
          <w:szCs w:val="24"/>
          <w:lang w:val="en-US"/>
        </w:rPr>
        <w:t>ff</w:t>
      </w:r>
      <w:r w:rsidRPr="007D6541">
        <w:rPr>
          <w:rFonts w:ascii="Bookman Old Style" w:hAnsi="Bookman Old Style" w:cs="TimesNewRomanPSMT"/>
          <w:sz w:val="24"/>
          <w:szCs w:val="24"/>
        </w:rPr>
        <w:t xml:space="preserve">.; 134, 366 &lt;382 </w:t>
      </w:r>
      <w:r w:rsidRPr="00057A81">
        <w:rPr>
          <w:rFonts w:ascii="Bookman Old Style" w:hAnsi="Bookman Old Style" w:cs="TimesNewRomanPSMT"/>
          <w:sz w:val="24"/>
          <w:szCs w:val="24"/>
          <w:lang w:val="en-US"/>
        </w:rPr>
        <w:t>ff</w:t>
      </w:r>
      <w:r w:rsidRPr="007D6541">
        <w:rPr>
          <w:rFonts w:ascii="Bookman Old Style" w:hAnsi="Bookman Old Style" w:cs="TimesNewRomanPSMT"/>
          <w:sz w:val="24"/>
          <w:szCs w:val="24"/>
        </w:rPr>
        <w:t xml:space="preserve">. </w:t>
      </w:r>
      <w:r w:rsidRPr="00057A81">
        <w:rPr>
          <w:rFonts w:ascii="Bookman Old Style" w:hAnsi="Bookman Old Style" w:cs="TimesNewRomanPSMT"/>
          <w:sz w:val="24"/>
          <w:szCs w:val="24"/>
          <w:lang w:val="en-US"/>
        </w:rPr>
        <w:t>Rn</w:t>
      </w:r>
      <w:r w:rsidRPr="007D6541">
        <w:rPr>
          <w:rFonts w:ascii="Bookman Old Style" w:hAnsi="Bookman Old Style" w:cs="TimesNewRomanPSMT"/>
          <w:sz w:val="24"/>
          <w:szCs w:val="24"/>
        </w:rPr>
        <w:t xml:space="preserve">. 22 </w:t>
      </w:r>
      <w:r w:rsidRPr="00057A81">
        <w:rPr>
          <w:rFonts w:ascii="Bookman Old Style" w:hAnsi="Bookman Old Style" w:cs="TimesNewRomanPSMT"/>
          <w:sz w:val="24"/>
          <w:szCs w:val="24"/>
          <w:lang w:val="en-US"/>
        </w:rPr>
        <w:t>ff</w:t>
      </w:r>
      <w:r w:rsidRPr="007D6541">
        <w:rPr>
          <w:rFonts w:ascii="Bookman Old Style" w:hAnsi="Bookman Old Style" w:cs="TimesNewRomanPSMT"/>
          <w:sz w:val="24"/>
          <w:szCs w:val="24"/>
        </w:rPr>
        <w:t xml:space="preserve">. &gt;; 142, 123 &lt;198 </w:t>
      </w:r>
      <w:r w:rsidRPr="00057A81">
        <w:rPr>
          <w:rFonts w:ascii="Bookman Old Style" w:hAnsi="Bookman Old Style" w:cs="TimesNewRomanPSMT"/>
          <w:sz w:val="24"/>
          <w:szCs w:val="24"/>
          <w:lang w:val="en-US"/>
        </w:rPr>
        <w:t>ff</w:t>
      </w:r>
      <w:r w:rsidRPr="007D6541">
        <w:rPr>
          <w:rFonts w:ascii="Bookman Old Style" w:hAnsi="Bookman Old Style" w:cs="TimesNewRomanPSMT"/>
          <w:sz w:val="24"/>
          <w:szCs w:val="24"/>
        </w:rPr>
        <w:t xml:space="preserve">. </w:t>
      </w:r>
      <w:r w:rsidRPr="00057A81">
        <w:rPr>
          <w:rFonts w:ascii="Bookman Old Style" w:hAnsi="Bookman Old Style" w:cs="TimesNewRomanPSMT"/>
          <w:sz w:val="24"/>
          <w:szCs w:val="24"/>
          <w:lang w:val="en-US"/>
        </w:rPr>
        <w:t>Rn</w:t>
      </w:r>
      <w:r w:rsidRPr="007D6541">
        <w:rPr>
          <w:rFonts w:ascii="Bookman Old Style" w:hAnsi="Bookman Old Style" w:cs="TimesNewRomanPSMT"/>
          <w:sz w:val="24"/>
          <w:szCs w:val="24"/>
        </w:rPr>
        <w:t xml:space="preserve">. 143 </w:t>
      </w:r>
      <w:r w:rsidRPr="00057A81">
        <w:rPr>
          <w:rFonts w:ascii="Bookman Old Style" w:hAnsi="Bookman Old Style" w:cs="TimesNewRomanPSMT"/>
          <w:sz w:val="24"/>
          <w:szCs w:val="24"/>
          <w:lang w:val="en-US"/>
        </w:rPr>
        <w:t>ff</w:t>
      </w:r>
      <w:r w:rsidRPr="007D6541">
        <w:rPr>
          <w:rFonts w:ascii="Bookman Old Style" w:hAnsi="Bookman Old Style" w:cs="TimesNewRomanPSMT"/>
          <w:sz w:val="24"/>
          <w:szCs w:val="24"/>
        </w:rPr>
        <w:t xml:space="preserve">.&gt;; Ομοσπονδιακό Συνταγματικό Δικαστήριο της Γερμανίας, </w:t>
      </w:r>
      <w:r w:rsidRPr="00057A81">
        <w:rPr>
          <w:rFonts w:ascii="Bookman Old Style" w:hAnsi="Bookman Old Style" w:cs="TimesNewRomanPSMT"/>
          <w:sz w:val="24"/>
          <w:szCs w:val="24"/>
          <w:lang w:val="en-US"/>
        </w:rPr>
        <w:t>Urteil</w:t>
      </w:r>
      <w:r w:rsidRPr="007D6541">
        <w:rPr>
          <w:rFonts w:ascii="Bookman Old Style" w:hAnsi="Bookman Old Style" w:cs="TimesNewRomanPSMT"/>
          <w:sz w:val="24"/>
          <w:szCs w:val="24"/>
        </w:rPr>
        <w:t xml:space="preserve"> </w:t>
      </w:r>
      <w:r w:rsidRPr="00057A81">
        <w:rPr>
          <w:rFonts w:ascii="Bookman Old Style" w:hAnsi="Bookman Old Style" w:cs="TimesNewRomanPSMT"/>
          <w:sz w:val="24"/>
          <w:szCs w:val="24"/>
          <w:lang w:val="en-US"/>
        </w:rPr>
        <w:t>des</w:t>
      </w:r>
      <w:r w:rsidRPr="007D6541">
        <w:rPr>
          <w:rFonts w:ascii="Bookman Old Style" w:hAnsi="Bookman Old Style" w:cs="TimesNewRomanPSMT"/>
          <w:sz w:val="24"/>
          <w:szCs w:val="24"/>
        </w:rPr>
        <w:t xml:space="preserve"> </w:t>
      </w:r>
      <w:r w:rsidRPr="00057A81">
        <w:rPr>
          <w:rFonts w:ascii="Bookman Old Style" w:hAnsi="Bookman Old Style" w:cs="TimesNewRomanPSMT"/>
          <w:sz w:val="24"/>
          <w:szCs w:val="24"/>
          <w:lang w:val="en-US"/>
        </w:rPr>
        <w:t>Zweiten</w:t>
      </w:r>
      <w:r w:rsidRPr="007D6541">
        <w:rPr>
          <w:rFonts w:ascii="Bookman Old Style" w:hAnsi="Bookman Old Style" w:cs="TimesNewRomanPSMT"/>
          <w:sz w:val="24"/>
          <w:szCs w:val="24"/>
        </w:rPr>
        <w:t xml:space="preserve"> </w:t>
      </w:r>
      <w:r w:rsidRPr="00057A81">
        <w:rPr>
          <w:rFonts w:ascii="Bookman Old Style" w:hAnsi="Bookman Old Style" w:cs="TimesNewRomanPSMT"/>
          <w:sz w:val="24"/>
          <w:szCs w:val="24"/>
          <w:lang w:val="en-US"/>
        </w:rPr>
        <w:t>Senats</w:t>
      </w:r>
      <w:r w:rsidRPr="007D6541">
        <w:rPr>
          <w:rFonts w:ascii="Bookman Old Style" w:hAnsi="Bookman Old Style" w:cs="TimesNewRomanPSMT"/>
          <w:sz w:val="24"/>
          <w:szCs w:val="24"/>
        </w:rPr>
        <w:t xml:space="preserve"> </w:t>
      </w:r>
      <w:r w:rsidRPr="00057A81">
        <w:rPr>
          <w:rFonts w:ascii="Bookman Old Style" w:hAnsi="Bookman Old Style" w:cs="TimesNewRomanPSMT"/>
          <w:sz w:val="24"/>
          <w:szCs w:val="24"/>
          <w:lang w:val="en-US"/>
        </w:rPr>
        <w:t>vom</w:t>
      </w:r>
      <w:r w:rsidRPr="007D6541">
        <w:rPr>
          <w:rFonts w:ascii="Bookman Old Style" w:hAnsi="Bookman Old Style" w:cs="TimesNewRomanPSMT"/>
          <w:sz w:val="24"/>
          <w:szCs w:val="24"/>
        </w:rPr>
        <w:t xml:space="preserve"> 30. </w:t>
      </w:r>
      <w:r w:rsidRPr="00057A81">
        <w:rPr>
          <w:rFonts w:ascii="Bookman Old Style" w:hAnsi="Bookman Old Style" w:cs="TimesNewRomanPSMT"/>
          <w:sz w:val="24"/>
          <w:szCs w:val="24"/>
        </w:rPr>
        <w:t>Juli 2019 -2 BvR 1685/14, 2 BvR 2631/14 -, Rn. 140 ff.</w:t>
      </w:r>
      <w:r w:rsidR="006C15F2">
        <w:rPr>
          <w:rFonts w:ascii="Bookman Old Style" w:hAnsi="Bookman Old Style" w:cs="TimesNewRomanPSMT"/>
          <w:sz w:val="24"/>
          <w:szCs w:val="24"/>
        </w:rPr>
        <w:t>-</w:t>
      </w:r>
      <w:r w:rsidRPr="00057A81">
        <w:rPr>
          <w:rFonts w:ascii="Bookman Old Style" w:hAnsi="Bookman Old Style" w:cs="TimesNewRomanPSMT"/>
          <w:sz w:val="24"/>
          <w:szCs w:val="24"/>
        </w:rPr>
        <w:t xml:space="preserve"> αποτελεί υποχρέωσή του να ελέγχει </w:t>
      </w:r>
      <w:r w:rsidR="006C15F2">
        <w:rPr>
          <w:rFonts w:ascii="Bookman Old Style" w:hAnsi="Bookman Old Style" w:cs="TimesNewRomanPSMT"/>
          <w:sz w:val="24"/>
          <w:szCs w:val="24"/>
        </w:rPr>
        <w:t xml:space="preserve">τους </w:t>
      </w:r>
      <w:r w:rsidRPr="00057A81">
        <w:rPr>
          <w:rFonts w:ascii="Bookman Old Style" w:hAnsi="Bookman Old Style" w:cs="TimesNewRomanPSMT"/>
          <w:sz w:val="24"/>
          <w:szCs w:val="24"/>
        </w:rPr>
        <w:t xml:space="preserve">ουσιαστικούς ισχυρισμούς σχετικά με ενέργειες </w:t>
      </w:r>
      <w:r w:rsidR="006C15F2">
        <w:rPr>
          <w:rFonts w:ascii="Bookman Old Style" w:hAnsi="Bookman Old Style" w:cs="TimesNewRomanPSMT"/>
          <w:sz w:val="24"/>
          <w:szCs w:val="24"/>
        </w:rPr>
        <w:t>«</w:t>
      </w:r>
      <w:r w:rsidRPr="00057A81">
        <w:rPr>
          <w:rFonts w:ascii="Bookman Old Style" w:hAnsi="Bookman Old Style" w:cs="TimesNewRomanPSMT"/>
          <w:sz w:val="24"/>
          <w:szCs w:val="24"/>
        </w:rPr>
        <w:t>ultra</w:t>
      </w:r>
      <w:r w:rsidR="006C15F2">
        <w:rPr>
          <w:rFonts w:ascii="Bookman Old Style" w:hAnsi="Bookman Old Style" w:cs="TimesNewRomanPSMT"/>
          <w:sz w:val="24"/>
          <w:szCs w:val="24"/>
        </w:rPr>
        <w:t>-</w:t>
      </w:r>
      <w:r w:rsidRPr="00057A81">
        <w:rPr>
          <w:rFonts w:ascii="Bookman Old Style" w:hAnsi="Bookman Old Style" w:cs="TimesNewRomanPSMT"/>
          <w:sz w:val="24"/>
          <w:szCs w:val="24"/>
        </w:rPr>
        <w:t>vires</w:t>
      </w:r>
      <w:r w:rsidR="006C15F2">
        <w:rPr>
          <w:rFonts w:ascii="Bookman Old Style" w:hAnsi="Bookman Old Style" w:cs="TimesNewRomanPSMT"/>
          <w:sz w:val="24"/>
          <w:szCs w:val="24"/>
        </w:rPr>
        <w:t>»</w:t>
      </w:r>
      <w:r w:rsidRPr="00057A81">
        <w:rPr>
          <w:rFonts w:ascii="Bookman Old Style" w:hAnsi="Bookman Old Style" w:cs="TimesNewRomanPSMT"/>
          <w:sz w:val="24"/>
          <w:szCs w:val="24"/>
        </w:rPr>
        <w:t xml:space="preserve"> των </w:t>
      </w:r>
      <w:r w:rsidR="006C15F2">
        <w:rPr>
          <w:rFonts w:ascii="Bookman Old Style" w:hAnsi="Bookman Old Style" w:cs="TimesNewRomanPSMT"/>
          <w:sz w:val="24"/>
          <w:szCs w:val="24"/>
        </w:rPr>
        <w:t>Ε</w:t>
      </w:r>
      <w:r w:rsidRPr="00057A81">
        <w:rPr>
          <w:rFonts w:ascii="Bookman Old Style" w:hAnsi="Bookman Old Style" w:cs="TimesNewRomanPSMT"/>
          <w:sz w:val="24"/>
          <w:szCs w:val="24"/>
        </w:rPr>
        <w:t>υρωπαϊκών οργάνων και υπηρεσιών και</w:t>
      </w:r>
      <w:r w:rsidR="006C15F2">
        <w:rPr>
          <w:rFonts w:ascii="Bookman Old Style" w:hAnsi="Bookman Old Style" w:cs="TimesNewRomanPSMT"/>
          <w:sz w:val="24"/>
          <w:szCs w:val="24"/>
        </w:rPr>
        <w:t>,</w:t>
      </w:r>
      <w:r w:rsidRPr="00057A81">
        <w:rPr>
          <w:rFonts w:ascii="Bookman Old Style" w:hAnsi="Bookman Old Style" w:cs="TimesNewRomanPSMT"/>
          <w:sz w:val="24"/>
          <w:szCs w:val="24"/>
        </w:rPr>
        <w:t xml:space="preserve"> σε συντονισμό με το ΔΕΕ</w:t>
      </w:r>
      <w:r w:rsidR="006C15F2">
        <w:rPr>
          <w:rFonts w:ascii="Bookman Old Style" w:hAnsi="Bookman Old Style" w:cs="TimesNewRomanPSMT"/>
          <w:sz w:val="24"/>
          <w:szCs w:val="24"/>
        </w:rPr>
        <w:t>,</w:t>
      </w:r>
      <w:r w:rsidRPr="00057A81">
        <w:rPr>
          <w:rFonts w:ascii="Bookman Old Style" w:hAnsi="Bookman Old Style" w:cs="TimesNewRomanPSMT"/>
          <w:sz w:val="24"/>
          <w:szCs w:val="24"/>
        </w:rPr>
        <w:t xml:space="preserve"> να ερμηνεύει και να εφαρμόζει τις </w:t>
      </w:r>
      <w:r w:rsidR="006C15F2">
        <w:rPr>
          <w:rFonts w:ascii="Bookman Old Style" w:hAnsi="Bookman Old Style" w:cs="TimesNewRomanPSMT"/>
          <w:sz w:val="24"/>
          <w:szCs w:val="24"/>
        </w:rPr>
        <w:t>Ε</w:t>
      </w:r>
      <w:r w:rsidRPr="00057A81">
        <w:rPr>
          <w:rFonts w:ascii="Bookman Old Style" w:hAnsi="Bookman Old Style" w:cs="TimesNewRomanPSMT"/>
          <w:sz w:val="24"/>
          <w:szCs w:val="24"/>
        </w:rPr>
        <w:t xml:space="preserve">υρωπαϊκές Συνθήκες </w:t>
      </w:r>
      <w:r w:rsidR="006C15F2">
        <w:rPr>
          <w:rFonts w:ascii="Bookman Old Style" w:hAnsi="Bookman Old Style" w:cs="TimesNewRomanPSMT"/>
          <w:sz w:val="24"/>
          <w:szCs w:val="24"/>
        </w:rPr>
        <w:t xml:space="preserve">καθώς </w:t>
      </w:r>
      <w:r w:rsidRPr="00057A81">
        <w:rPr>
          <w:rFonts w:ascii="Bookman Old Style" w:hAnsi="Bookman Old Style" w:cs="TimesNewRomanPSMT"/>
          <w:sz w:val="24"/>
          <w:szCs w:val="24"/>
        </w:rPr>
        <w:t xml:space="preserve">και να εγγυάται </w:t>
      </w:r>
      <w:r w:rsidR="006C15F2">
        <w:rPr>
          <w:rFonts w:ascii="Bookman Old Style" w:hAnsi="Bookman Old Style" w:cs="TimesNewRomanPSMT"/>
          <w:sz w:val="24"/>
          <w:szCs w:val="24"/>
        </w:rPr>
        <w:t>με τον τρόπο αυτό</w:t>
      </w:r>
      <w:r w:rsidRPr="00057A81">
        <w:rPr>
          <w:rFonts w:ascii="Bookman Old Style" w:hAnsi="Bookman Old Style" w:cs="TimesNewRomanPSMT"/>
          <w:sz w:val="24"/>
          <w:szCs w:val="24"/>
        </w:rPr>
        <w:t xml:space="preserve"> τον ενιαίο χαρακτήρα του </w:t>
      </w:r>
      <w:r>
        <w:rPr>
          <w:rFonts w:ascii="Bookman Old Style" w:hAnsi="Bookman Old Style" w:cs="TimesNewRomanPSMT"/>
          <w:sz w:val="24"/>
          <w:szCs w:val="24"/>
        </w:rPr>
        <w:t>Ευρωπαϊκού Δικαίου</w:t>
      </w:r>
      <w:r w:rsidRPr="00057A81">
        <w:rPr>
          <w:rFonts w:ascii="Bookman Old Style" w:hAnsi="Bookman Old Style" w:cs="TimesNewRomanPSMT"/>
          <w:sz w:val="24"/>
          <w:szCs w:val="24"/>
        </w:rPr>
        <w:t xml:space="preserve">. Αν κάθε </w:t>
      </w:r>
      <w:r>
        <w:rPr>
          <w:rFonts w:ascii="Bookman Old Style" w:hAnsi="Bookman Old Style" w:cs="TimesNewRomanPSMT"/>
          <w:sz w:val="24"/>
          <w:szCs w:val="24"/>
        </w:rPr>
        <w:t>Κ</w:t>
      </w:r>
      <w:r w:rsidRPr="00057A81">
        <w:rPr>
          <w:rFonts w:ascii="Bookman Old Style" w:hAnsi="Bookman Old Style" w:cs="TimesNewRomanPSMT"/>
          <w:sz w:val="24"/>
          <w:szCs w:val="24"/>
        </w:rPr>
        <w:t>ράτος</w:t>
      </w:r>
      <w:r>
        <w:rPr>
          <w:rFonts w:ascii="Bookman Old Style" w:hAnsi="Bookman Old Style" w:cs="TimesNewRomanPSMT"/>
          <w:sz w:val="24"/>
          <w:szCs w:val="24"/>
        </w:rPr>
        <w:t>-Μ</w:t>
      </w:r>
      <w:r w:rsidRPr="00057A81">
        <w:rPr>
          <w:rFonts w:ascii="Bookman Old Style" w:hAnsi="Bookman Old Style" w:cs="TimesNewRomanPSMT"/>
          <w:sz w:val="24"/>
          <w:szCs w:val="24"/>
        </w:rPr>
        <w:t>έλος είχε την αξίωση</w:t>
      </w:r>
      <w:r w:rsidR="006C15F2">
        <w:rPr>
          <w:rFonts w:ascii="Bookman Old Style" w:hAnsi="Bookman Old Style" w:cs="TimesNewRomanPSMT"/>
          <w:sz w:val="24"/>
          <w:szCs w:val="24"/>
        </w:rPr>
        <w:t>,</w:t>
      </w:r>
      <w:r w:rsidRPr="00057A81">
        <w:rPr>
          <w:rFonts w:ascii="Bookman Old Style" w:hAnsi="Bookman Old Style" w:cs="TimesNewRomanPSMT"/>
          <w:sz w:val="24"/>
          <w:szCs w:val="24"/>
        </w:rPr>
        <w:t xml:space="preserve"> μέσω των </w:t>
      </w:r>
      <w:r w:rsidR="006C15F2">
        <w:rPr>
          <w:rFonts w:ascii="Bookman Old Style" w:hAnsi="Bookman Old Style" w:cs="TimesNewRomanPSMT"/>
          <w:sz w:val="24"/>
          <w:szCs w:val="24"/>
        </w:rPr>
        <w:t>Δ</w:t>
      </w:r>
      <w:r w:rsidRPr="00057A81">
        <w:rPr>
          <w:rFonts w:ascii="Bookman Old Style" w:hAnsi="Bookman Old Style" w:cs="TimesNewRomanPSMT"/>
          <w:sz w:val="24"/>
          <w:szCs w:val="24"/>
        </w:rPr>
        <w:t>ικαστηρίων του</w:t>
      </w:r>
      <w:r w:rsidR="006C15F2">
        <w:rPr>
          <w:rFonts w:ascii="Bookman Old Style" w:hAnsi="Bookman Old Style" w:cs="TimesNewRomanPSMT"/>
          <w:sz w:val="24"/>
          <w:szCs w:val="24"/>
        </w:rPr>
        <w:t>,</w:t>
      </w:r>
      <w:r w:rsidRPr="00057A81">
        <w:rPr>
          <w:rFonts w:ascii="Bookman Old Style" w:hAnsi="Bookman Old Style" w:cs="TimesNewRomanPSMT"/>
          <w:sz w:val="24"/>
          <w:szCs w:val="24"/>
        </w:rPr>
        <w:t xml:space="preserve"> ν</w:t>
      </w:r>
      <w:r w:rsidR="006C15F2">
        <w:rPr>
          <w:rFonts w:ascii="Bookman Old Style" w:hAnsi="Bookman Old Style" w:cs="TimesNewRomanPSMT"/>
          <w:sz w:val="24"/>
          <w:szCs w:val="24"/>
        </w:rPr>
        <w:t>’</w:t>
      </w:r>
      <w:r w:rsidRPr="00057A81">
        <w:rPr>
          <w:rFonts w:ascii="Bookman Old Style" w:hAnsi="Bookman Old Style" w:cs="TimesNewRomanPSMT"/>
          <w:sz w:val="24"/>
          <w:szCs w:val="24"/>
        </w:rPr>
        <w:t xml:space="preserve"> αποφασίζει σχετικά με την ισχύ πράξεων των </w:t>
      </w:r>
      <w:r w:rsidRPr="00F2269A">
        <w:rPr>
          <w:rFonts w:ascii="Bookman Old Style" w:hAnsi="Bookman Old Style" w:cs="TimesNewRomanPSMT"/>
          <w:sz w:val="24"/>
          <w:szCs w:val="24"/>
        </w:rPr>
        <w:t>Ευρωπαϊκών</w:t>
      </w:r>
      <w:r w:rsidRPr="00057A81">
        <w:rPr>
          <w:rFonts w:ascii="Bookman Old Style" w:hAnsi="Bookman Old Style" w:cs="TimesNewRomanPSMT"/>
          <w:sz w:val="24"/>
          <w:szCs w:val="24"/>
        </w:rPr>
        <w:t xml:space="preserve"> οργάνων θα μπορούσε να παρακάμπτεται η αρχή της υπεροχής του </w:t>
      </w:r>
      <w:r>
        <w:rPr>
          <w:rFonts w:ascii="Bookman Old Style" w:hAnsi="Bookman Old Style" w:cs="TimesNewRomanPSMT"/>
          <w:sz w:val="24"/>
          <w:szCs w:val="24"/>
        </w:rPr>
        <w:t>Ευρωπαϊκού Δικαίου</w:t>
      </w:r>
      <w:r w:rsidRPr="00057A81">
        <w:rPr>
          <w:rFonts w:ascii="Bookman Old Style" w:hAnsi="Bookman Old Style" w:cs="TimesNewRomanPSMT"/>
          <w:sz w:val="24"/>
          <w:szCs w:val="24"/>
        </w:rPr>
        <w:t xml:space="preserve"> και θα ετίθετο υπό διακινδύνευση η ενιαία εφαρμογή του </w:t>
      </w:r>
      <w:r>
        <w:rPr>
          <w:rFonts w:ascii="Bookman Old Style" w:hAnsi="Bookman Old Style" w:cs="TimesNewRomanPSMT"/>
          <w:sz w:val="24"/>
          <w:szCs w:val="24"/>
        </w:rPr>
        <w:t>Ευρωπαϊκού Δ</w:t>
      </w:r>
      <w:r w:rsidRPr="00057A81">
        <w:rPr>
          <w:rFonts w:ascii="Bookman Old Style" w:hAnsi="Bookman Old Style" w:cs="TimesNewRomanPSMT"/>
          <w:sz w:val="24"/>
          <w:szCs w:val="24"/>
        </w:rPr>
        <w:t xml:space="preserve">ικαίου. Από την άλλη πλευρά όμως, αν τα </w:t>
      </w:r>
      <w:r>
        <w:rPr>
          <w:rFonts w:ascii="Bookman Old Style" w:hAnsi="Bookman Old Style" w:cs="TimesNewRomanPSMT"/>
          <w:sz w:val="24"/>
          <w:szCs w:val="24"/>
        </w:rPr>
        <w:t>Κ</w:t>
      </w:r>
      <w:r w:rsidRPr="00057A81">
        <w:rPr>
          <w:rFonts w:ascii="Bookman Old Style" w:hAnsi="Bookman Old Style" w:cs="TimesNewRomanPSMT"/>
          <w:sz w:val="24"/>
          <w:szCs w:val="24"/>
        </w:rPr>
        <w:t>ράτη</w:t>
      </w:r>
      <w:r>
        <w:rPr>
          <w:rFonts w:ascii="Bookman Old Style" w:hAnsi="Bookman Old Style" w:cs="TimesNewRomanPSMT"/>
          <w:sz w:val="24"/>
          <w:szCs w:val="24"/>
        </w:rPr>
        <w:t>-Μ</w:t>
      </w:r>
      <w:r w:rsidRPr="00057A81">
        <w:rPr>
          <w:rFonts w:ascii="Bookman Old Style" w:hAnsi="Bookman Old Style" w:cs="TimesNewRomanPSMT"/>
          <w:sz w:val="24"/>
          <w:szCs w:val="24"/>
        </w:rPr>
        <w:t xml:space="preserve">έλη παραιτούνταν εντελώς από τον έλεγχο </w:t>
      </w:r>
      <w:r w:rsidR="006C15F2">
        <w:rPr>
          <w:rFonts w:ascii="Bookman Old Style" w:hAnsi="Bookman Old Style" w:cs="TimesNewRomanPSMT"/>
          <w:sz w:val="24"/>
          <w:szCs w:val="24"/>
        </w:rPr>
        <w:t>«</w:t>
      </w:r>
      <w:r w:rsidRPr="00057A81">
        <w:rPr>
          <w:rFonts w:ascii="Bookman Old Style" w:hAnsi="Bookman Old Style" w:cs="TimesNewRomanPSMT"/>
          <w:sz w:val="24"/>
          <w:szCs w:val="24"/>
        </w:rPr>
        <w:t>ultra-vires</w:t>
      </w:r>
      <w:r w:rsidR="006C15F2">
        <w:rPr>
          <w:rFonts w:ascii="Bookman Old Style" w:hAnsi="Bookman Old Style" w:cs="TimesNewRomanPSMT"/>
          <w:sz w:val="24"/>
          <w:szCs w:val="24"/>
        </w:rPr>
        <w:t>»</w:t>
      </w:r>
      <w:r w:rsidRPr="00057A81">
        <w:rPr>
          <w:rFonts w:ascii="Bookman Old Style" w:hAnsi="Bookman Old Style" w:cs="TimesNewRomanPSMT"/>
          <w:sz w:val="24"/>
          <w:szCs w:val="24"/>
        </w:rPr>
        <w:t xml:space="preserve">, η </w:t>
      </w:r>
      <w:r w:rsidR="006C15F2">
        <w:rPr>
          <w:rFonts w:ascii="Bookman Old Style" w:hAnsi="Bookman Old Style" w:cs="TimesNewRomanPSMT"/>
          <w:sz w:val="24"/>
          <w:szCs w:val="24"/>
        </w:rPr>
        <w:t>αρμοδιότητα και δικαιοδοσία</w:t>
      </w:r>
      <w:r w:rsidRPr="00057A81">
        <w:rPr>
          <w:rFonts w:ascii="Bookman Old Style" w:hAnsi="Bookman Old Style" w:cs="TimesNewRomanPSMT"/>
          <w:sz w:val="24"/>
          <w:szCs w:val="24"/>
        </w:rPr>
        <w:t xml:space="preserve"> ερμηνείας των Συνθηκών θα μετατίθετο αποκλειστικά στα </w:t>
      </w:r>
      <w:r>
        <w:rPr>
          <w:rFonts w:ascii="Bookman Old Style" w:hAnsi="Bookman Old Style" w:cs="TimesNewRomanPSMT"/>
          <w:sz w:val="24"/>
          <w:szCs w:val="24"/>
        </w:rPr>
        <w:t xml:space="preserve">Ευρωπαϊκά </w:t>
      </w:r>
      <w:r w:rsidRPr="00057A81">
        <w:rPr>
          <w:rFonts w:ascii="Bookman Old Style" w:hAnsi="Bookman Old Style" w:cs="TimesNewRomanPSMT"/>
          <w:sz w:val="24"/>
          <w:szCs w:val="24"/>
        </w:rPr>
        <w:t>όργανα</w:t>
      </w:r>
      <w:r w:rsidR="000052B1">
        <w:rPr>
          <w:rFonts w:ascii="Bookman Old Style" w:hAnsi="Bookman Old Style" w:cs="TimesNewRomanPSMT"/>
          <w:sz w:val="24"/>
          <w:szCs w:val="24"/>
        </w:rPr>
        <w:t>,</w:t>
      </w:r>
      <w:r w:rsidRPr="00057A81">
        <w:rPr>
          <w:rFonts w:ascii="Bookman Old Style" w:hAnsi="Bookman Old Style" w:cs="TimesNewRomanPSMT"/>
          <w:sz w:val="24"/>
          <w:szCs w:val="24"/>
        </w:rPr>
        <w:t xml:space="preserve"> και μάλιστα ακόμη και όταν η δική τους </w:t>
      </w:r>
      <w:r w:rsidR="006C15F2">
        <w:rPr>
          <w:rFonts w:ascii="Bookman Old Style" w:hAnsi="Bookman Old Style" w:cs="TimesNewRomanPSMT"/>
          <w:sz w:val="24"/>
          <w:szCs w:val="24"/>
        </w:rPr>
        <w:t>άποψη ως προς την ορθή</w:t>
      </w:r>
      <w:r w:rsidRPr="00057A81">
        <w:rPr>
          <w:rFonts w:ascii="Bookman Old Style" w:hAnsi="Bookman Old Style" w:cs="TimesNewRomanPSMT"/>
          <w:sz w:val="24"/>
          <w:szCs w:val="24"/>
        </w:rPr>
        <w:t xml:space="preserve"> νομική ερμηνεία θα σήμαινε</w:t>
      </w:r>
      <w:r w:rsidR="006C15F2">
        <w:rPr>
          <w:rFonts w:ascii="Bookman Old Style" w:hAnsi="Bookman Old Style" w:cs="TimesNewRomanPSMT"/>
          <w:sz w:val="24"/>
          <w:szCs w:val="24"/>
        </w:rPr>
        <w:t>,</w:t>
      </w:r>
      <w:r w:rsidRPr="00057A81">
        <w:rPr>
          <w:rFonts w:ascii="Bookman Old Style" w:hAnsi="Bookman Old Style" w:cs="TimesNewRomanPSMT"/>
          <w:sz w:val="24"/>
          <w:szCs w:val="24"/>
        </w:rPr>
        <w:t xml:space="preserve"> κατ' αποτέλεσμα</w:t>
      </w:r>
      <w:r w:rsidR="006C15F2">
        <w:rPr>
          <w:rFonts w:ascii="Bookman Old Style" w:hAnsi="Bookman Old Style" w:cs="TimesNewRomanPSMT"/>
          <w:sz w:val="24"/>
          <w:szCs w:val="24"/>
        </w:rPr>
        <w:t>,</w:t>
      </w:r>
      <w:r w:rsidRPr="00057A81">
        <w:rPr>
          <w:rFonts w:ascii="Bookman Old Style" w:hAnsi="Bookman Old Style" w:cs="TimesNewRomanPSMT"/>
          <w:sz w:val="24"/>
          <w:szCs w:val="24"/>
        </w:rPr>
        <w:t xml:space="preserve"> τροποποίηση των Συνθηκών ή διεύρυνση των αρμοδιοτήτων και </w:t>
      </w:r>
      <w:r w:rsidR="006C15F2">
        <w:rPr>
          <w:rFonts w:ascii="Bookman Old Style" w:hAnsi="Bookman Old Style" w:cs="TimesNewRomanPSMT"/>
          <w:sz w:val="24"/>
          <w:szCs w:val="24"/>
        </w:rPr>
        <w:t>της δικαιοδοσίας</w:t>
      </w:r>
      <w:r w:rsidRPr="00057A81">
        <w:rPr>
          <w:rFonts w:ascii="Bookman Old Style" w:hAnsi="Bookman Old Style" w:cs="TimesNewRomanPSMT"/>
          <w:sz w:val="24"/>
          <w:szCs w:val="24"/>
        </w:rPr>
        <w:t xml:space="preserve">. </w:t>
      </w:r>
    </w:p>
    <w:p w:rsidR="00F2269A" w:rsidRDefault="00F2269A" w:rsidP="00303AFA">
      <w:pPr>
        <w:autoSpaceDE w:val="0"/>
        <w:autoSpaceDN w:val="0"/>
        <w:adjustRightInd w:val="0"/>
        <w:spacing w:before="240" w:line="360" w:lineRule="auto"/>
        <w:ind w:left="851" w:hanging="284"/>
        <w:jc w:val="both"/>
        <w:rPr>
          <w:rFonts w:ascii="Bookman Old Style" w:hAnsi="Bookman Old Style" w:cs="TimesNewRomanPSMT"/>
          <w:sz w:val="24"/>
          <w:szCs w:val="24"/>
        </w:rPr>
      </w:pPr>
      <w:r>
        <w:rPr>
          <w:rFonts w:ascii="Bookman Old Style" w:hAnsi="Bookman Old Style" w:cs="TimesNewRomanPSMT"/>
          <w:b/>
          <w:sz w:val="24"/>
          <w:szCs w:val="24"/>
        </w:rPr>
        <w:t xml:space="preserve">α) </w:t>
      </w:r>
      <w:r w:rsidRPr="00057A81">
        <w:rPr>
          <w:rFonts w:ascii="Bookman Old Style" w:hAnsi="Bookman Old Style" w:cs="TimesNewRomanPSMT"/>
          <w:sz w:val="24"/>
          <w:szCs w:val="24"/>
        </w:rPr>
        <w:t>Το γεγονός ότι -όπως άλλωστε</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είναι αναμενόμενο κατά </w:t>
      </w:r>
      <w:r>
        <w:rPr>
          <w:rFonts w:ascii="Bookman Old Style" w:hAnsi="Bookman Old Style" w:cs="TimesNewRomanPSMT"/>
          <w:sz w:val="24"/>
          <w:szCs w:val="24"/>
        </w:rPr>
        <w:t xml:space="preserve">τις </w:t>
      </w:r>
      <w:r w:rsidRPr="00FE5CA3">
        <w:rPr>
          <w:rFonts w:ascii="Bookman Old Style" w:hAnsi="Bookman Old Style" w:cs="TimesNewRomanPSMT"/>
          <w:sz w:val="24"/>
          <w:szCs w:val="24"/>
        </w:rPr>
        <w:t>θεσμικές και διαδικαστικές ρυθμίσεις και ιδιαιτερότητες του</w:t>
      </w:r>
      <w:r>
        <w:rPr>
          <w:rFonts w:ascii="Bookman Old Style" w:hAnsi="Bookman Old Style" w:cs="TimesNewRomanPSMT"/>
          <w:sz w:val="24"/>
          <w:szCs w:val="24"/>
        </w:rPr>
        <w:t xml:space="preserve"> Ευρωπαϊκού Δ</w:t>
      </w:r>
      <w:r w:rsidRPr="00FE5CA3">
        <w:rPr>
          <w:rFonts w:ascii="Bookman Old Style" w:hAnsi="Bookman Old Style" w:cs="TimesNewRomanPSMT"/>
          <w:sz w:val="24"/>
          <w:szCs w:val="24"/>
        </w:rPr>
        <w:t>ικαίου- σε σπάνιες και οριακές περιπτώσεις μιας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υπέρβασης αρμοδιοτήτων εκ μέρους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των </w:t>
      </w:r>
      <w:r w:rsidRPr="00F2269A">
        <w:rPr>
          <w:rFonts w:ascii="Bookman Old Style" w:hAnsi="Bookman Old Style" w:cs="TimesNewRomanPSMT"/>
          <w:sz w:val="24"/>
          <w:szCs w:val="24"/>
        </w:rPr>
        <w:t>Ευρωπαϊκών</w:t>
      </w:r>
      <w:r w:rsidRPr="00FE5CA3">
        <w:rPr>
          <w:rFonts w:ascii="Bookman Old Style" w:hAnsi="Bookman Old Style" w:cs="TimesNewRomanPSMT"/>
          <w:sz w:val="24"/>
          <w:szCs w:val="24"/>
        </w:rPr>
        <w:t xml:space="preserve"> οργάνων</w:t>
      </w:r>
      <w:r w:rsidR="006C15F2">
        <w:rPr>
          <w:rFonts w:ascii="Bookman Old Style" w:hAnsi="Bookman Old Style" w:cs="TimesNewRomanPSMT"/>
          <w:sz w:val="24"/>
          <w:szCs w:val="24"/>
        </w:rPr>
        <w:t>,</w:t>
      </w:r>
      <w:r w:rsidRPr="00FE5CA3">
        <w:rPr>
          <w:rFonts w:ascii="Bookman Old Style" w:hAnsi="Bookman Old Style" w:cs="TimesNewRomanPSMT"/>
          <w:sz w:val="24"/>
          <w:szCs w:val="24"/>
        </w:rPr>
        <w:t xml:space="preserve"> η οπτική του </w:t>
      </w:r>
      <w:r w:rsidR="006C15F2">
        <w:rPr>
          <w:rFonts w:ascii="Bookman Old Style" w:hAnsi="Bookman Old Style" w:cs="TimesNewRomanPSMT"/>
          <w:sz w:val="24"/>
          <w:szCs w:val="24"/>
        </w:rPr>
        <w:t>Ε</w:t>
      </w:r>
      <w:r w:rsidRPr="00FE5CA3">
        <w:rPr>
          <w:rFonts w:ascii="Bookman Old Style" w:hAnsi="Bookman Old Style" w:cs="TimesNewRomanPSMT"/>
          <w:sz w:val="24"/>
          <w:szCs w:val="24"/>
        </w:rPr>
        <w:t xml:space="preserve">θνικού </w:t>
      </w:r>
      <w:r w:rsidR="006C15F2">
        <w:rPr>
          <w:rFonts w:ascii="Bookman Old Style" w:hAnsi="Bookman Old Style" w:cs="TimesNewRomanPSMT"/>
          <w:sz w:val="24"/>
          <w:szCs w:val="24"/>
        </w:rPr>
        <w:t>Δικαστή</w:t>
      </w:r>
      <w:r w:rsidRPr="00FE5CA3">
        <w:rPr>
          <w:rFonts w:ascii="Bookman Old Style" w:hAnsi="Bookman Old Style" w:cs="TimesNewRomanPSMT"/>
          <w:sz w:val="24"/>
          <w:szCs w:val="24"/>
        </w:rPr>
        <w:t xml:space="preserve"> δεν ταυτίζεται πλήρως με</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την οπτική του </w:t>
      </w:r>
      <w:r>
        <w:rPr>
          <w:rFonts w:ascii="Bookman Old Style" w:hAnsi="Bookman Old Style" w:cs="TimesNewRomanPSMT"/>
          <w:sz w:val="24"/>
          <w:szCs w:val="24"/>
        </w:rPr>
        <w:t>Ευρωπαϊκού Δ</w:t>
      </w:r>
      <w:r w:rsidRPr="00FE5CA3">
        <w:rPr>
          <w:rFonts w:ascii="Bookman Old Style" w:hAnsi="Bookman Old Style" w:cs="TimesNewRomanPSMT"/>
          <w:sz w:val="24"/>
          <w:szCs w:val="24"/>
        </w:rPr>
        <w:t>ικαίου</w:t>
      </w:r>
      <w:r w:rsidR="000052B1">
        <w:rPr>
          <w:rFonts w:ascii="Bookman Old Style" w:hAnsi="Bookman Old Style" w:cs="TimesNewRomanPSMT"/>
          <w:sz w:val="24"/>
          <w:szCs w:val="24"/>
        </w:rPr>
        <w:t>,</w:t>
      </w:r>
      <w:r w:rsidRPr="00FE5CA3">
        <w:rPr>
          <w:rFonts w:ascii="Bookman Old Style" w:hAnsi="Bookman Old Style" w:cs="TimesNewRomanPSMT"/>
          <w:sz w:val="24"/>
          <w:szCs w:val="24"/>
        </w:rPr>
        <w:t xml:space="preserve"> οφείλεται στο ότι και μετά τη</w:t>
      </w:r>
      <w:r w:rsidR="00A104CA">
        <w:rPr>
          <w:rFonts w:ascii="Bookman Old Style" w:hAnsi="Bookman Old Style" w:cs="TimesNewRomanPSMT"/>
          <w:sz w:val="24"/>
          <w:szCs w:val="24"/>
        </w:rPr>
        <w:t>ν</w:t>
      </w:r>
      <w:r w:rsidRPr="00FE5CA3">
        <w:rPr>
          <w:rFonts w:ascii="Bookman Old Style" w:hAnsi="Bookman Old Style" w:cs="TimesNewRomanPSMT"/>
          <w:sz w:val="24"/>
          <w:szCs w:val="24"/>
        </w:rPr>
        <w:t xml:space="preserve"> θέση σε</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ισχύ της Συνθήκης </w:t>
      </w:r>
      <w:r>
        <w:rPr>
          <w:rFonts w:ascii="Bookman Old Style" w:hAnsi="Bookman Old Style" w:cs="TimesNewRomanPSMT"/>
          <w:sz w:val="24"/>
          <w:szCs w:val="24"/>
        </w:rPr>
        <w:t xml:space="preserve">της </w:t>
      </w:r>
      <w:r w:rsidRPr="00FE5CA3">
        <w:rPr>
          <w:rFonts w:ascii="Bookman Old Style" w:hAnsi="Bookman Old Style" w:cs="TimesNewRomanPSMT"/>
          <w:sz w:val="24"/>
          <w:szCs w:val="24"/>
        </w:rPr>
        <w:t>Λισαβ</w:t>
      </w:r>
      <w:r w:rsidR="00CD7837">
        <w:rPr>
          <w:rFonts w:ascii="Bookman Old Style" w:hAnsi="Bookman Old Style" w:cs="TimesNewRomanPSMT"/>
          <w:sz w:val="24"/>
          <w:szCs w:val="24"/>
        </w:rPr>
        <w:t>ό</w:t>
      </w:r>
      <w:r w:rsidRPr="00FE5CA3">
        <w:rPr>
          <w:rFonts w:ascii="Bookman Old Style" w:hAnsi="Bookman Old Style" w:cs="TimesNewRomanPSMT"/>
          <w:sz w:val="24"/>
          <w:szCs w:val="24"/>
        </w:rPr>
        <w:t xml:space="preserve">νας τα </w:t>
      </w:r>
      <w:r w:rsidR="00A104CA">
        <w:rPr>
          <w:rFonts w:ascii="Bookman Old Style" w:hAnsi="Bookman Old Style" w:cs="TimesNewRomanPSMT"/>
          <w:sz w:val="24"/>
          <w:szCs w:val="24"/>
        </w:rPr>
        <w:t>Κ</w:t>
      </w:r>
      <w:r w:rsidRPr="00FE5CA3">
        <w:rPr>
          <w:rFonts w:ascii="Bookman Old Style" w:hAnsi="Bookman Old Style" w:cs="TimesNewRomanPSMT"/>
          <w:sz w:val="24"/>
          <w:szCs w:val="24"/>
        </w:rPr>
        <w:t>ράτη</w:t>
      </w:r>
      <w:r w:rsidR="00A104CA">
        <w:rPr>
          <w:rFonts w:ascii="Bookman Old Style" w:hAnsi="Bookman Old Style" w:cs="TimesNewRomanPSMT"/>
          <w:sz w:val="24"/>
          <w:szCs w:val="24"/>
        </w:rPr>
        <w:t>-Μ</w:t>
      </w:r>
      <w:r w:rsidRPr="00FE5CA3">
        <w:rPr>
          <w:rFonts w:ascii="Bookman Old Style" w:hAnsi="Bookman Old Style" w:cs="TimesNewRomanPSMT"/>
          <w:sz w:val="24"/>
          <w:szCs w:val="24"/>
        </w:rPr>
        <w:t xml:space="preserve">έλη της </w:t>
      </w:r>
      <w:r w:rsidR="00A104CA">
        <w:rPr>
          <w:rFonts w:ascii="Bookman Old Style" w:hAnsi="Bookman Old Style" w:cs="TimesNewRomanPSMT"/>
          <w:sz w:val="24"/>
          <w:szCs w:val="24"/>
        </w:rPr>
        <w:t>Ευρωπαϊκής Ένωσης</w:t>
      </w:r>
      <w:r w:rsidRPr="00FE5CA3">
        <w:rPr>
          <w:rFonts w:ascii="Bookman Old Style" w:hAnsi="Bookman Old Style" w:cs="TimesNewRomanPSMT"/>
          <w:sz w:val="24"/>
          <w:szCs w:val="24"/>
        </w:rPr>
        <w:t xml:space="preserve"> παραμένουν</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«κύριοι των Συνθηκών» (</w:t>
      </w:r>
      <w:r w:rsidR="000052B1">
        <w:rPr>
          <w:rFonts w:ascii="Bookman Old Style" w:hAnsi="Bookman Old Style" w:cs="TimesNewRomanPSMT"/>
          <w:sz w:val="24"/>
          <w:szCs w:val="24"/>
        </w:rPr>
        <w:t>«</w:t>
      </w:r>
      <w:r w:rsidRPr="00FE5CA3">
        <w:rPr>
          <w:rFonts w:ascii="Bookman Old Style" w:hAnsi="Bookman Old Style" w:cs="TimesNewRomanPSMT"/>
          <w:sz w:val="24"/>
          <w:szCs w:val="24"/>
        </w:rPr>
        <w:t>Herren der Verträge</w:t>
      </w:r>
      <w:r w:rsidR="000052B1">
        <w:rPr>
          <w:rFonts w:ascii="Bookman Old Style" w:hAnsi="Bookman Old Style" w:cs="TimesNewRomanPSMT"/>
          <w:sz w:val="24"/>
          <w:szCs w:val="24"/>
        </w:rPr>
        <w:t>»</w:t>
      </w:r>
      <w:r w:rsidRPr="00FE5CA3">
        <w:rPr>
          <w:rFonts w:ascii="Bookman Old Style" w:hAnsi="Bookman Old Style" w:cs="TimesNewRomanPSMT"/>
          <w:sz w:val="24"/>
          <w:szCs w:val="24"/>
        </w:rPr>
        <w:t>)</w:t>
      </w:r>
      <w:r w:rsidR="00A104CA">
        <w:rPr>
          <w:rFonts w:ascii="Bookman Old Style" w:hAnsi="Bookman Old Style" w:cs="TimesNewRomanPSMT"/>
          <w:sz w:val="24"/>
          <w:szCs w:val="24"/>
        </w:rPr>
        <w:t>,</w:t>
      </w:r>
      <w:r w:rsidRPr="00FE5CA3">
        <w:rPr>
          <w:rFonts w:ascii="Bookman Old Style" w:hAnsi="Bookman Old Style" w:cs="TimesNewRomanPSMT"/>
          <w:sz w:val="24"/>
          <w:szCs w:val="24"/>
        </w:rPr>
        <w:t xml:space="preserve"> </w:t>
      </w:r>
      <w:r w:rsidR="00A104CA">
        <w:rPr>
          <w:rFonts w:ascii="Bookman Old Style" w:hAnsi="Bookman Old Style" w:cs="TimesNewRomanPSMT"/>
          <w:sz w:val="24"/>
          <w:szCs w:val="24"/>
        </w:rPr>
        <w:t>αφού η Ευρωπαϊκή Ένωση</w:t>
      </w:r>
      <w:r w:rsidRPr="00FE5CA3">
        <w:rPr>
          <w:rFonts w:ascii="Bookman Old Style" w:hAnsi="Bookman Old Style" w:cs="TimesNewRomanPSMT"/>
          <w:sz w:val="24"/>
          <w:szCs w:val="24"/>
        </w:rPr>
        <w:t xml:space="preserve"> δεν έχει</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καταστεί ομοσπονδιακό κράτος (βλ. </w:t>
      </w:r>
      <w:r>
        <w:rPr>
          <w:rFonts w:ascii="Bookman Old Style" w:hAnsi="Bookman Old Style" w:cs="TimesNewRomanPSMT"/>
          <w:sz w:val="24"/>
          <w:szCs w:val="24"/>
        </w:rPr>
        <w:t xml:space="preserve">Ομοσπονδιακό Συνταγματικό </w:t>
      </w:r>
      <w:r>
        <w:rPr>
          <w:rFonts w:ascii="Bookman Old Style" w:hAnsi="Bookman Old Style" w:cs="TimesNewRomanPSMT"/>
          <w:sz w:val="24"/>
          <w:szCs w:val="24"/>
        </w:rPr>
        <w:lastRenderedPageBreak/>
        <w:t xml:space="preserve">Δικαστήριο της Γερμανίας </w:t>
      </w:r>
      <w:r w:rsidRPr="00FE5CA3">
        <w:rPr>
          <w:rFonts w:ascii="Bookman Old Style" w:hAnsi="Bookman Old Style" w:cs="TimesNewRomanPSMT"/>
          <w:sz w:val="24"/>
          <w:szCs w:val="24"/>
        </w:rPr>
        <w:t>E 123, 267 &lt;370 f.&gt;). Οι</w:t>
      </w:r>
      <w:r w:rsidR="00A104CA">
        <w:rPr>
          <w:rFonts w:ascii="Bookman Old Style" w:hAnsi="Bookman Old Style" w:cs="TimesNewRomanPSMT"/>
          <w:sz w:val="24"/>
          <w:szCs w:val="24"/>
        </w:rPr>
        <w:t>,</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κατά κανόνα</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αναπόφευκτες</w:t>
      </w:r>
      <w:r w:rsidR="00A104CA">
        <w:rPr>
          <w:rFonts w:ascii="Bookman Old Style" w:hAnsi="Bookman Old Style" w:cs="TimesNewRomanPSMT"/>
          <w:sz w:val="24"/>
          <w:szCs w:val="24"/>
        </w:rPr>
        <w:t>,</w:t>
      </w:r>
      <w:r w:rsidRPr="00FE5CA3">
        <w:rPr>
          <w:rFonts w:ascii="Bookman Old Style" w:hAnsi="Bookman Old Style" w:cs="TimesNewRomanPSMT"/>
          <w:sz w:val="24"/>
          <w:szCs w:val="24"/>
        </w:rPr>
        <w:t xml:space="preserve"> καταστάσεις εντάσεων</w:t>
      </w:r>
      <w:r w:rsidR="00A104CA">
        <w:rPr>
          <w:rFonts w:ascii="Bookman Old Style" w:hAnsi="Bookman Old Style" w:cs="TimesNewRomanPSMT"/>
          <w:sz w:val="24"/>
          <w:szCs w:val="24"/>
        </w:rPr>
        <w:t>,</w:t>
      </w:r>
      <w:r w:rsidRPr="00FE5CA3">
        <w:rPr>
          <w:rFonts w:ascii="Bookman Old Style" w:hAnsi="Bookman Old Style" w:cs="TimesNewRomanPSMT"/>
          <w:sz w:val="24"/>
          <w:szCs w:val="24"/>
        </w:rPr>
        <w:t xml:space="preserve"> που ανακύπτουν στο πλαίσιο αυτής της κατασκευής</w:t>
      </w:r>
      <w:r w:rsidR="00A104CA">
        <w:rPr>
          <w:rFonts w:ascii="Bookman Old Style" w:hAnsi="Bookman Old Style" w:cs="TimesNewRomanPSMT"/>
          <w:sz w:val="24"/>
          <w:szCs w:val="24"/>
        </w:rPr>
        <w:t>,</w:t>
      </w:r>
      <w:r w:rsidRPr="00FE5CA3">
        <w:rPr>
          <w:rFonts w:ascii="Bookman Old Style" w:hAnsi="Bookman Old Style" w:cs="TimesNewRomanPSMT"/>
          <w:sz w:val="24"/>
          <w:szCs w:val="24"/>
        </w:rPr>
        <w:t xml:space="preserve"> πρέπει</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ν</w:t>
      </w:r>
      <w:r w:rsidR="00A104CA">
        <w:rPr>
          <w:rFonts w:ascii="Bookman Old Style" w:hAnsi="Bookman Old Style" w:cs="TimesNewRomanPSMT"/>
          <w:sz w:val="24"/>
          <w:szCs w:val="24"/>
        </w:rPr>
        <w:t>’</w:t>
      </w:r>
      <w:r w:rsidRPr="00FE5CA3">
        <w:rPr>
          <w:rFonts w:ascii="Bookman Old Style" w:hAnsi="Bookman Old Style" w:cs="TimesNewRomanPSMT"/>
          <w:sz w:val="24"/>
          <w:szCs w:val="24"/>
        </w:rPr>
        <w:t xml:space="preserve"> αμβλύνονται σύμφωνα με την ιδέα της </w:t>
      </w:r>
      <w:r w:rsidR="00A104CA">
        <w:rPr>
          <w:rFonts w:ascii="Bookman Old Style" w:hAnsi="Bookman Old Style" w:cs="TimesNewRomanPSMT"/>
          <w:sz w:val="24"/>
          <w:szCs w:val="24"/>
        </w:rPr>
        <w:t>Ε</w:t>
      </w:r>
      <w:r w:rsidRPr="00FE5CA3">
        <w:rPr>
          <w:rFonts w:ascii="Bookman Old Style" w:hAnsi="Bookman Old Style" w:cs="TimesNewRomanPSMT"/>
          <w:sz w:val="24"/>
          <w:szCs w:val="24"/>
        </w:rPr>
        <w:t xml:space="preserve">υρωπαϊκής </w:t>
      </w:r>
      <w:r w:rsidR="00A104CA">
        <w:rPr>
          <w:rFonts w:ascii="Bookman Old Style" w:hAnsi="Bookman Old Style" w:cs="TimesNewRomanPSMT"/>
          <w:sz w:val="24"/>
          <w:szCs w:val="24"/>
        </w:rPr>
        <w:t>Ε</w:t>
      </w:r>
      <w:r w:rsidRPr="00FE5CA3">
        <w:rPr>
          <w:rFonts w:ascii="Bookman Old Style" w:hAnsi="Bookman Old Style" w:cs="TimesNewRomanPSMT"/>
          <w:sz w:val="24"/>
          <w:szCs w:val="24"/>
        </w:rPr>
        <w:t>νοποίησης και μέσω μιας αμοιβαίας λήψης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υπ</w:t>
      </w:r>
      <w:r w:rsidR="00A104CA">
        <w:rPr>
          <w:rFonts w:ascii="Bookman Old Style" w:hAnsi="Bookman Old Style" w:cs="TimesNewRomanPSMT"/>
          <w:sz w:val="24"/>
          <w:szCs w:val="24"/>
        </w:rPr>
        <w:t>όψη</w:t>
      </w:r>
      <w:r w:rsidRPr="00FE5CA3">
        <w:rPr>
          <w:rFonts w:ascii="Bookman Old Style" w:hAnsi="Bookman Old Style" w:cs="TimesNewRomanPSMT"/>
          <w:sz w:val="24"/>
          <w:szCs w:val="24"/>
        </w:rPr>
        <w:t xml:space="preserve"> της άλλης πλευράς. Αυτό χαρακτηρίζει</w:t>
      </w:r>
      <w:r w:rsidR="00A104CA">
        <w:rPr>
          <w:rFonts w:ascii="Bookman Old Style" w:hAnsi="Bookman Old Style" w:cs="TimesNewRomanPSMT"/>
          <w:sz w:val="24"/>
          <w:szCs w:val="24"/>
        </w:rPr>
        <w:t>,</w:t>
      </w:r>
      <w:r w:rsidRPr="00FE5CA3">
        <w:rPr>
          <w:rFonts w:ascii="Bookman Old Style" w:hAnsi="Bookman Old Style" w:cs="TimesNewRomanPSMT"/>
          <w:sz w:val="24"/>
          <w:szCs w:val="24"/>
        </w:rPr>
        <w:t xml:space="preserve"> άλλωστε</w:t>
      </w:r>
      <w:r w:rsidR="00A104CA">
        <w:rPr>
          <w:rFonts w:ascii="Bookman Old Style" w:hAnsi="Bookman Old Style" w:cs="TimesNewRomanPSMT"/>
          <w:sz w:val="24"/>
          <w:szCs w:val="24"/>
        </w:rPr>
        <w:t>,</w:t>
      </w:r>
      <w:r w:rsidRPr="00FE5CA3">
        <w:rPr>
          <w:rFonts w:ascii="Bookman Old Style" w:hAnsi="Bookman Old Style" w:cs="TimesNewRomanPSMT"/>
          <w:sz w:val="24"/>
          <w:szCs w:val="24"/>
        </w:rPr>
        <w:t xml:space="preserve"> τη</w:t>
      </w:r>
      <w:r w:rsidR="00A104CA">
        <w:rPr>
          <w:rFonts w:ascii="Bookman Old Style" w:hAnsi="Bookman Old Style" w:cs="TimesNewRomanPSMT"/>
          <w:sz w:val="24"/>
          <w:szCs w:val="24"/>
        </w:rPr>
        <w:t>ν</w:t>
      </w:r>
      <w:r w:rsidRPr="00FE5CA3">
        <w:rPr>
          <w:rFonts w:ascii="Bookman Old Style" w:hAnsi="Bookman Old Style" w:cs="TimesNewRomanPSMT"/>
          <w:sz w:val="24"/>
          <w:szCs w:val="24"/>
        </w:rPr>
        <w:t xml:space="preserve"> συνεργασία εντός της Ευρωπαϊκής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Ένωσης, η οποία αποτελεί έναν</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σύνδεσμο </w:t>
      </w:r>
      <w:r w:rsidR="00A104CA">
        <w:rPr>
          <w:rFonts w:ascii="Bookman Old Style" w:hAnsi="Bookman Old Style" w:cs="TimesNewRomanPSMT"/>
          <w:sz w:val="24"/>
          <w:szCs w:val="24"/>
        </w:rPr>
        <w:t>Κ</w:t>
      </w:r>
      <w:r w:rsidRPr="00FE5CA3">
        <w:rPr>
          <w:rFonts w:ascii="Bookman Old Style" w:hAnsi="Bookman Old Style" w:cs="TimesNewRomanPSMT"/>
          <w:sz w:val="24"/>
          <w:szCs w:val="24"/>
        </w:rPr>
        <w:t xml:space="preserve">ρατών, </w:t>
      </w:r>
      <w:r w:rsidR="00A104CA">
        <w:rPr>
          <w:rFonts w:ascii="Bookman Old Style" w:hAnsi="Bookman Old Style" w:cs="TimesNewRomanPSMT"/>
          <w:sz w:val="24"/>
          <w:szCs w:val="24"/>
        </w:rPr>
        <w:t>Σ</w:t>
      </w:r>
      <w:r w:rsidRPr="00FE5CA3">
        <w:rPr>
          <w:rFonts w:ascii="Bookman Old Style" w:hAnsi="Bookman Old Style" w:cs="TimesNewRomanPSMT"/>
          <w:sz w:val="24"/>
          <w:szCs w:val="24"/>
        </w:rPr>
        <w:t xml:space="preserve">υνταγμάτων, </w:t>
      </w:r>
      <w:r w:rsidR="00CE42E4">
        <w:rPr>
          <w:rFonts w:ascii="Bookman Old Style" w:hAnsi="Bookman Old Style" w:cs="TimesNewRomanPSMT"/>
          <w:sz w:val="24"/>
          <w:szCs w:val="24"/>
        </w:rPr>
        <w:t>Δ</w:t>
      </w:r>
      <w:r w:rsidRPr="00FE5CA3">
        <w:rPr>
          <w:rFonts w:ascii="Bookman Old Style" w:hAnsi="Bookman Old Style" w:cs="TimesNewRomanPSMT"/>
          <w:sz w:val="24"/>
          <w:szCs w:val="24"/>
        </w:rPr>
        <w:t xml:space="preserve">ιοικήσεων και </w:t>
      </w:r>
      <w:r w:rsidR="00A104CA">
        <w:rPr>
          <w:rFonts w:ascii="Bookman Old Style" w:hAnsi="Bookman Old Style" w:cs="TimesNewRomanPSMT"/>
          <w:sz w:val="24"/>
          <w:szCs w:val="24"/>
        </w:rPr>
        <w:t>Δ</w:t>
      </w:r>
      <w:r w:rsidRPr="00FE5CA3">
        <w:rPr>
          <w:rFonts w:ascii="Bookman Old Style" w:hAnsi="Bookman Old Style" w:cs="TimesNewRomanPSMT"/>
          <w:sz w:val="24"/>
          <w:szCs w:val="24"/>
        </w:rPr>
        <w:t>ικαστηρίων</w:t>
      </w:r>
      <w:r>
        <w:rPr>
          <w:rFonts w:ascii="Bookman Old Style" w:hAnsi="Bookman Old Style" w:cs="TimesNewRomanPSMT"/>
          <w:sz w:val="24"/>
          <w:szCs w:val="24"/>
        </w:rPr>
        <w:t xml:space="preserve"> </w:t>
      </w:r>
      <w:r w:rsidRPr="00FE5CA3">
        <w:rPr>
          <w:rFonts w:ascii="Bookman Old Style" w:hAnsi="Bookman Old Style" w:cs="TimesNewRomanPSMT"/>
          <w:sz w:val="24"/>
          <w:szCs w:val="24"/>
        </w:rPr>
        <w:t>(</w:t>
      </w:r>
      <w:r>
        <w:rPr>
          <w:rFonts w:ascii="Bookman Old Style" w:hAnsi="Bookman Old Style" w:cs="TimesNewRomanPSMT"/>
          <w:sz w:val="24"/>
          <w:szCs w:val="24"/>
        </w:rPr>
        <w:t xml:space="preserve">Ομοσπονδιακό Συνταγματικό Δικαστήριο της Γερμανίας </w:t>
      </w:r>
      <w:r w:rsidRPr="00FE5CA3">
        <w:rPr>
          <w:rFonts w:ascii="Bookman Old Style" w:hAnsi="Bookman Old Style" w:cs="TimesNewRomanPSMT"/>
          <w:sz w:val="24"/>
          <w:szCs w:val="24"/>
        </w:rPr>
        <w:t>E 140, 317 &lt;338 Rn. 44).</w:t>
      </w:r>
      <w:r>
        <w:rPr>
          <w:rFonts w:ascii="Bookman Old Style" w:hAnsi="Bookman Old Style" w:cs="TimesNewRomanPSMT"/>
          <w:sz w:val="24"/>
          <w:szCs w:val="24"/>
        </w:rPr>
        <w:t xml:space="preserve"> </w:t>
      </w:r>
    </w:p>
    <w:p w:rsidR="000052B1" w:rsidRDefault="00F2269A" w:rsidP="00303AFA">
      <w:pPr>
        <w:autoSpaceDE w:val="0"/>
        <w:autoSpaceDN w:val="0"/>
        <w:adjustRightInd w:val="0"/>
        <w:spacing w:before="240" w:line="360" w:lineRule="auto"/>
        <w:ind w:left="1134" w:hanging="283"/>
        <w:jc w:val="both"/>
        <w:rPr>
          <w:rFonts w:ascii="Bookman Old Style" w:hAnsi="Bookman Old Style" w:cs="TimesNewRomanPSMT"/>
          <w:sz w:val="24"/>
          <w:szCs w:val="24"/>
        </w:rPr>
      </w:pPr>
      <w:r>
        <w:rPr>
          <w:rFonts w:ascii="Bookman Old Style" w:hAnsi="Bookman Old Style" w:cs="TimesNewRomanPSMT"/>
          <w:b/>
          <w:sz w:val="24"/>
          <w:szCs w:val="24"/>
        </w:rPr>
        <w:t xml:space="preserve">β) </w:t>
      </w:r>
      <w:r w:rsidRPr="00FE5CA3">
        <w:rPr>
          <w:rFonts w:ascii="Bookman Old Style" w:hAnsi="Bookman Old Style" w:cs="TimesNewRomanPSMT"/>
          <w:sz w:val="24"/>
          <w:szCs w:val="24"/>
        </w:rPr>
        <w:t xml:space="preserve">Η ερμηνεία και εφαρμογή του </w:t>
      </w:r>
      <w:r>
        <w:rPr>
          <w:rFonts w:ascii="Bookman Old Style" w:hAnsi="Bookman Old Style" w:cs="TimesNewRomanPSMT"/>
          <w:sz w:val="24"/>
          <w:szCs w:val="24"/>
        </w:rPr>
        <w:t>Ευρωπαϊκού Δ</w:t>
      </w:r>
      <w:r w:rsidRPr="00FE5CA3">
        <w:rPr>
          <w:rFonts w:ascii="Bookman Old Style" w:hAnsi="Bookman Old Style" w:cs="TimesNewRomanPSMT"/>
          <w:sz w:val="24"/>
          <w:szCs w:val="24"/>
        </w:rPr>
        <w:t>ικαίου</w:t>
      </w:r>
      <w:r w:rsidR="00A104CA">
        <w:rPr>
          <w:rFonts w:ascii="Bookman Old Style" w:hAnsi="Bookman Old Style" w:cs="TimesNewRomanPSMT"/>
          <w:sz w:val="24"/>
          <w:szCs w:val="24"/>
        </w:rPr>
        <w:t>,</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συμπεριλαμβανομένου και του καθορισμού </w:t>
      </w:r>
      <w:r>
        <w:rPr>
          <w:rFonts w:ascii="Bookman Old Style" w:hAnsi="Bookman Old Style" w:cs="TimesNewRomanPSMT"/>
          <w:sz w:val="24"/>
          <w:szCs w:val="24"/>
        </w:rPr>
        <w:t xml:space="preserve">της </w:t>
      </w:r>
      <w:r w:rsidRPr="00FE5CA3">
        <w:rPr>
          <w:rFonts w:ascii="Bookman Old Style" w:hAnsi="Bookman Old Style" w:cs="TimesNewRomanPSMT"/>
          <w:sz w:val="24"/>
          <w:szCs w:val="24"/>
        </w:rPr>
        <w:t>εφαρμοστέας νομικής μεθόδου</w:t>
      </w:r>
      <w:r w:rsidR="000052B1">
        <w:rPr>
          <w:rFonts w:ascii="Bookman Old Style" w:hAnsi="Bookman Old Style" w:cs="TimesNewRomanPSMT"/>
          <w:sz w:val="24"/>
          <w:szCs w:val="24"/>
        </w:rPr>
        <w:t>,</w:t>
      </w:r>
      <w:r w:rsidRPr="00FE5CA3">
        <w:rPr>
          <w:rFonts w:ascii="Bookman Old Style" w:hAnsi="Bookman Old Style" w:cs="TimesNewRomanPSMT"/>
          <w:sz w:val="24"/>
          <w:szCs w:val="24"/>
        </w:rPr>
        <w:t xml:space="preserve"> είναι</w:t>
      </w:r>
      <w:r w:rsidR="000052B1">
        <w:rPr>
          <w:rFonts w:ascii="Bookman Old Style" w:hAnsi="Bookman Old Style" w:cs="TimesNewRomanPSMT"/>
          <w:sz w:val="24"/>
          <w:szCs w:val="24"/>
        </w:rPr>
        <w:t>,</w:t>
      </w:r>
      <w:r w:rsidRPr="00FE5CA3">
        <w:rPr>
          <w:rFonts w:ascii="Bookman Old Style" w:hAnsi="Bookman Old Style" w:cs="TimesNewRomanPSMT"/>
          <w:sz w:val="24"/>
          <w:szCs w:val="24"/>
        </w:rPr>
        <w:t xml:space="preserve"> κατ</w:t>
      </w:r>
      <w:r w:rsidR="00A104CA">
        <w:rPr>
          <w:rFonts w:ascii="Bookman Old Style" w:hAnsi="Bookman Old Style" w:cs="TimesNewRomanPSMT"/>
          <w:sz w:val="24"/>
          <w:szCs w:val="24"/>
        </w:rPr>
        <w:t xml:space="preserve">’ </w:t>
      </w:r>
      <w:r w:rsidRPr="00FE5CA3">
        <w:rPr>
          <w:rFonts w:ascii="Bookman Old Style" w:hAnsi="Bookman Old Style" w:cs="TimesNewRomanPSMT"/>
          <w:sz w:val="24"/>
          <w:szCs w:val="24"/>
        </w:rPr>
        <w:t>αρχήν</w:t>
      </w:r>
      <w:r w:rsidR="000052B1">
        <w:rPr>
          <w:rFonts w:ascii="Bookman Old Style" w:hAnsi="Bookman Old Style" w:cs="TimesNewRomanPSMT"/>
          <w:sz w:val="24"/>
          <w:szCs w:val="24"/>
        </w:rPr>
        <w:t>,</w:t>
      </w:r>
      <w:r w:rsidRPr="00FE5CA3">
        <w:rPr>
          <w:rFonts w:ascii="Bookman Old Style" w:hAnsi="Bookman Old Style" w:cs="TimesNewRomanPSMT"/>
          <w:sz w:val="24"/>
          <w:szCs w:val="24"/>
        </w:rPr>
        <w:t xml:space="preserve"> αρμοδιότητα του ΔΕΕ, το οποίο</w:t>
      </w:r>
      <w:r w:rsidR="00A104CA">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 κατ</w:t>
      </w:r>
      <w:r w:rsidR="00A104CA">
        <w:rPr>
          <w:rFonts w:ascii="Bookman Old Style" w:hAnsi="Bookman Old Style" w:cs="TimesNewRomanPSMT"/>
          <w:sz w:val="24"/>
          <w:szCs w:val="24"/>
        </w:rPr>
        <w:t>ά τις διατάξεις του</w:t>
      </w:r>
      <w:r w:rsidRPr="00FE5CA3">
        <w:rPr>
          <w:rFonts w:ascii="Bookman Old Style" w:hAnsi="Bookman Old Style" w:cs="TimesNewRomanPSMT"/>
          <w:sz w:val="24"/>
          <w:szCs w:val="24"/>
        </w:rPr>
        <w:t xml:space="preserve"> άρθρ. 19 παρ.</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1 εδ. 2 </w:t>
      </w:r>
      <w:r w:rsidR="00A104CA">
        <w:rPr>
          <w:rFonts w:ascii="Bookman Old Style" w:hAnsi="Bookman Old Style" w:cs="TimesNewRomanPSMT"/>
          <w:sz w:val="24"/>
          <w:szCs w:val="24"/>
        </w:rPr>
        <w:t xml:space="preserve">της </w:t>
      </w:r>
      <w:r w:rsidRPr="00FE5CA3">
        <w:rPr>
          <w:rFonts w:ascii="Bookman Old Style" w:hAnsi="Bookman Old Style" w:cs="TimesNewRomanPSMT"/>
          <w:sz w:val="24"/>
          <w:szCs w:val="24"/>
        </w:rPr>
        <w:t>ΣΕΕ</w:t>
      </w:r>
      <w:r w:rsidR="00A104CA">
        <w:rPr>
          <w:rFonts w:ascii="Bookman Old Style" w:hAnsi="Bookman Old Style" w:cs="TimesNewRomanPSMT"/>
          <w:sz w:val="24"/>
          <w:szCs w:val="24"/>
        </w:rPr>
        <w:t>,</w:t>
      </w:r>
      <w:r w:rsidRPr="00FE5CA3">
        <w:rPr>
          <w:rFonts w:ascii="Bookman Old Style" w:hAnsi="Bookman Old Style" w:cs="TimesNewRomanPSMT"/>
          <w:sz w:val="24"/>
          <w:szCs w:val="24"/>
        </w:rPr>
        <w:t xml:space="preserve"> </w:t>
      </w:r>
      <w:r w:rsidR="000052B1">
        <w:rPr>
          <w:rFonts w:ascii="Bookman Old Style" w:hAnsi="Bookman Old Style" w:cs="TimesNewRomanPSMT"/>
          <w:sz w:val="24"/>
          <w:szCs w:val="24"/>
        </w:rPr>
        <w:t>υπερασπίζεται</w:t>
      </w:r>
      <w:r w:rsidRPr="00FE5CA3">
        <w:rPr>
          <w:rFonts w:ascii="Bookman Old Style" w:hAnsi="Bookman Old Style" w:cs="TimesNewRomanPSMT"/>
          <w:sz w:val="24"/>
          <w:szCs w:val="24"/>
        </w:rPr>
        <w:t xml:space="preserve"> το δίκαιο κατά την ερμηνεία και εφαρμογή των Συνθηκών. </w:t>
      </w:r>
    </w:p>
    <w:p w:rsidR="000052B1" w:rsidRDefault="000052B1" w:rsidP="00303AFA">
      <w:pPr>
        <w:autoSpaceDE w:val="0"/>
        <w:autoSpaceDN w:val="0"/>
        <w:adjustRightInd w:val="0"/>
        <w:spacing w:before="240" w:line="360" w:lineRule="auto"/>
        <w:ind w:left="1418" w:hanging="284"/>
        <w:jc w:val="both"/>
        <w:rPr>
          <w:rFonts w:ascii="Bookman Old Style" w:hAnsi="Bookman Old Style" w:cs="TimesNewRomanPSMT"/>
          <w:sz w:val="24"/>
          <w:szCs w:val="24"/>
        </w:rPr>
      </w:pPr>
      <w:r w:rsidRPr="000052B1">
        <w:rPr>
          <w:rFonts w:ascii="Bookman Old Style" w:hAnsi="Bookman Old Style" w:cs="TimesNewRomanPSMT"/>
          <w:b/>
          <w:sz w:val="24"/>
          <w:szCs w:val="24"/>
        </w:rPr>
        <w:t>β1)</w:t>
      </w:r>
      <w:r w:rsidR="00A36618">
        <w:rPr>
          <w:rFonts w:ascii="Bookman Old Style" w:hAnsi="Bookman Old Style" w:cs="TimesNewRomanPSMT"/>
          <w:b/>
          <w:sz w:val="24"/>
          <w:szCs w:val="24"/>
        </w:rPr>
        <w:t xml:space="preserve"> </w:t>
      </w:r>
      <w:r w:rsidR="00F2269A" w:rsidRPr="00FE5CA3">
        <w:rPr>
          <w:rFonts w:ascii="Bookman Old Style" w:hAnsi="Bookman Old Style" w:cs="TimesNewRomanPSMT"/>
          <w:sz w:val="24"/>
          <w:szCs w:val="24"/>
        </w:rPr>
        <w:t>Οι μέθοδοι</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δικανικής ερμηνείας των κανόνων δικαίου</w:t>
      </w:r>
      <w:r w:rsidR="00A104CA">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που έχει διαμορφώσει η νομολογία του ΔΕΕ</w:t>
      </w:r>
      <w:r w:rsidR="00A104CA">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βασίζονται</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στις κοινές συνταγματικές νομικές παραδόσεις των </w:t>
      </w:r>
      <w:r w:rsidR="00F2269A">
        <w:rPr>
          <w:rFonts w:ascii="Bookman Old Style" w:hAnsi="Bookman Old Style" w:cs="TimesNewRomanPSMT"/>
          <w:sz w:val="24"/>
          <w:szCs w:val="24"/>
        </w:rPr>
        <w:t>Κ</w:t>
      </w:r>
      <w:r w:rsidR="00F2269A" w:rsidRPr="00FE5CA3">
        <w:rPr>
          <w:rFonts w:ascii="Bookman Old Style" w:hAnsi="Bookman Old Style" w:cs="TimesNewRomanPSMT"/>
          <w:sz w:val="24"/>
          <w:szCs w:val="24"/>
        </w:rPr>
        <w:t>ρατών-</w:t>
      </w:r>
      <w:r w:rsidR="00F2269A">
        <w:rPr>
          <w:rFonts w:ascii="Bookman Old Style" w:hAnsi="Bookman Old Style" w:cs="TimesNewRomanPSMT"/>
          <w:sz w:val="24"/>
          <w:szCs w:val="24"/>
        </w:rPr>
        <w:t>Μ</w:t>
      </w:r>
      <w:r w:rsidR="00F2269A" w:rsidRPr="00FE5CA3">
        <w:rPr>
          <w:rFonts w:ascii="Bookman Old Style" w:hAnsi="Bookman Old Style" w:cs="TimesNewRomanPSMT"/>
          <w:sz w:val="24"/>
          <w:szCs w:val="24"/>
        </w:rPr>
        <w:t xml:space="preserve">ελών </w:t>
      </w:r>
      <w:r w:rsidR="00CE42E4">
        <w:rPr>
          <w:rFonts w:ascii="Bookman Old Style" w:hAnsi="Bookman Old Style" w:cs="TimesNewRomanPSMT"/>
          <w:sz w:val="24"/>
          <w:szCs w:val="24"/>
        </w:rPr>
        <w:t>-</w:t>
      </w:r>
      <w:r w:rsidR="00F2269A" w:rsidRPr="00FE5CA3">
        <w:rPr>
          <w:rFonts w:ascii="Bookman Old Style" w:hAnsi="Bookman Old Style" w:cs="TimesNewRomanPSMT"/>
          <w:sz w:val="24"/>
          <w:szCs w:val="24"/>
        </w:rPr>
        <w:t>άρθρο</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6 παρ. 3 </w:t>
      </w:r>
      <w:r w:rsidR="00A104CA">
        <w:rPr>
          <w:rFonts w:ascii="Bookman Old Style" w:hAnsi="Bookman Old Style" w:cs="TimesNewRomanPSMT"/>
          <w:sz w:val="24"/>
          <w:szCs w:val="24"/>
        </w:rPr>
        <w:t xml:space="preserve">της </w:t>
      </w:r>
      <w:r w:rsidR="00F2269A" w:rsidRPr="00FE5CA3">
        <w:rPr>
          <w:rFonts w:ascii="Bookman Old Style" w:hAnsi="Bookman Old Style" w:cs="TimesNewRomanPSMT"/>
          <w:sz w:val="24"/>
          <w:szCs w:val="24"/>
        </w:rPr>
        <w:t>ΣΕΕ, άρθρο</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340 παρ. 2 </w:t>
      </w:r>
      <w:r w:rsidR="00A104CA">
        <w:rPr>
          <w:rFonts w:ascii="Bookman Old Style" w:hAnsi="Bookman Old Style" w:cs="TimesNewRomanPSMT"/>
          <w:sz w:val="24"/>
          <w:szCs w:val="24"/>
        </w:rPr>
        <w:t xml:space="preserve">της </w:t>
      </w:r>
      <w:r w:rsidR="00F2269A" w:rsidRPr="00FE5CA3">
        <w:rPr>
          <w:rFonts w:ascii="Bookman Old Style" w:hAnsi="Bookman Old Style" w:cs="TimesNewRomanPSMT"/>
          <w:sz w:val="24"/>
          <w:szCs w:val="24"/>
        </w:rPr>
        <w:t>ΣΛΕΕ</w:t>
      </w:r>
      <w:r w:rsidR="00CE42E4">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όπως αυτές</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εμφανίζονται στη</w:t>
      </w:r>
      <w:r w:rsidR="00A104CA">
        <w:rPr>
          <w:rFonts w:ascii="Bookman Old Style" w:hAnsi="Bookman Old Style" w:cs="TimesNewRomanPSMT"/>
          <w:sz w:val="24"/>
          <w:szCs w:val="24"/>
        </w:rPr>
        <w:t>ν</w:t>
      </w:r>
      <w:r w:rsidR="00F2269A" w:rsidRPr="00FE5CA3">
        <w:rPr>
          <w:rFonts w:ascii="Bookman Old Style" w:hAnsi="Bookman Old Style" w:cs="TimesNewRomanPSMT"/>
          <w:sz w:val="24"/>
          <w:szCs w:val="24"/>
        </w:rPr>
        <w:t xml:space="preserve"> νομολογία των </w:t>
      </w:r>
      <w:r w:rsidR="00A104CA">
        <w:rPr>
          <w:rFonts w:ascii="Bookman Old Style" w:hAnsi="Bookman Old Style" w:cs="TimesNewRomanPSMT"/>
          <w:sz w:val="24"/>
          <w:szCs w:val="24"/>
        </w:rPr>
        <w:t>Σ</w:t>
      </w:r>
      <w:r w:rsidR="00F2269A" w:rsidRPr="00FE5CA3">
        <w:rPr>
          <w:rFonts w:ascii="Bookman Old Style" w:hAnsi="Bookman Old Style" w:cs="TimesNewRomanPSMT"/>
          <w:sz w:val="24"/>
          <w:szCs w:val="24"/>
        </w:rPr>
        <w:t xml:space="preserve">υνταγματικών και </w:t>
      </w:r>
      <w:r w:rsidR="00A104CA">
        <w:rPr>
          <w:rFonts w:ascii="Bookman Old Style" w:hAnsi="Bookman Old Style" w:cs="TimesNewRomanPSMT"/>
          <w:sz w:val="24"/>
          <w:szCs w:val="24"/>
        </w:rPr>
        <w:t>Α</w:t>
      </w:r>
      <w:r w:rsidR="00F2269A" w:rsidRPr="00FE5CA3">
        <w:rPr>
          <w:rFonts w:ascii="Bookman Old Style" w:hAnsi="Bookman Old Style" w:cs="TimesNewRomanPSMT"/>
          <w:sz w:val="24"/>
          <w:szCs w:val="24"/>
        </w:rPr>
        <w:t>ν</w:t>
      </w:r>
      <w:r w:rsidR="00A104CA">
        <w:rPr>
          <w:rFonts w:ascii="Bookman Old Style" w:hAnsi="Bookman Old Style" w:cs="TimesNewRomanPSMT"/>
          <w:sz w:val="24"/>
          <w:szCs w:val="24"/>
        </w:rPr>
        <w:t>ώτα</w:t>
      </w:r>
      <w:r w:rsidR="00F2269A" w:rsidRPr="00FE5CA3">
        <w:rPr>
          <w:rFonts w:ascii="Bookman Old Style" w:hAnsi="Bookman Old Style" w:cs="TimesNewRomanPSMT"/>
          <w:sz w:val="24"/>
          <w:szCs w:val="24"/>
        </w:rPr>
        <w:t>των</w:t>
      </w:r>
      <w:r w:rsidR="00F2269A">
        <w:rPr>
          <w:rFonts w:ascii="Bookman Old Style" w:hAnsi="Bookman Old Style" w:cs="TimesNewRomanPSMT"/>
          <w:sz w:val="24"/>
          <w:szCs w:val="24"/>
        </w:rPr>
        <w:t xml:space="preserve"> </w:t>
      </w:r>
      <w:r w:rsidR="00A104CA">
        <w:rPr>
          <w:rFonts w:ascii="Bookman Old Style" w:hAnsi="Bookman Old Style" w:cs="TimesNewRomanPSMT"/>
          <w:sz w:val="24"/>
          <w:szCs w:val="24"/>
        </w:rPr>
        <w:t>Δ</w:t>
      </w:r>
      <w:r w:rsidR="00F2269A" w:rsidRPr="00FE5CA3">
        <w:rPr>
          <w:rFonts w:ascii="Bookman Old Style" w:hAnsi="Bookman Old Style" w:cs="TimesNewRomanPSMT"/>
          <w:sz w:val="24"/>
          <w:szCs w:val="24"/>
        </w:rPr>
        <w:t>ικαστηρίων τους και στη</w:t>
      </w:r>
      <w:r w:rsidR="00A104CA">
        <w:rPr>
          <w:rFonts w:ascii="Bookman Old Style" w:hAnsi="Bookman Old Style" w:cs="TimesNewRomanPSMT"/>
          <w:sz w:val="24"/>
          <w:szCs w:val="24"/>
        </w:rPr>
        <w:t>ν</w:t>
      </w:r>
      <w:r w:rsidR="00F2269A" w:rsidRPr="00FE5CA3">
        <w:rPr>
          <w:rFonts w:ascii="Bookman Old Style" w:hAnsi="Bookman Old Style" w:cs="TimesNewRomanPSMT"/>
          <w:sz w:val="24"/>
          <w:szCs w:val="24"/>
        </w:rPr>
        <w:t xml:space="preserve"> νομολογία του Ευρωπαϊκού Δικαστηρίου </w:t>
      </w:r>
      <w:r w:rsidR="00A36618">
        <w:rPr>
          <w:rFonts w:ascii="Bookman Old Style" w:hAnsi="Bookman Old Style" w:cs="TimesNewRomanPSMT"/>
          <w:sz w:val="24"/>
          <w:szCs w:val="24"/>
        </w:rPr>
        <w:t xml:space="preserve">των </w:t>
      </w:r>
      <w:r w:rsidR="00F2269A" w:rsidRPr="00FE5CA3">
        <w:rPr>
          <w:rFonts w:ascii="Bookman Old Style" w:hAnsi="Bookman Old Style" w:cs="TimesNewRomanPSMT"/>
          <w:sz w:val="24"/>
          <w:szCs w:val="24"/>
        </w:rPr>
        <w:t>Δικαιωμάτων του Ανθρώπου.</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Η χρήση των</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νομικών αυτών μεθόδων και αρχών δεν μπορεί - και δεν πρέπει - να ταυτίζεται</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πλήρως με τις μεθόδους που</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εφαρμόζουν τα </w:t>
      </w:r>
      <w:r w:rsidR="00A104CA">
        <w:rPr>
          <w:rFonts w:ascii="Bookman Old Style" w:hAnsi="Bookman Old Style" w:cs="TimesNewRomanPSMT"/>
          <w:sz w:val="24"/>
          <w:szCs w:val="24"/>
        </w:rPr>
        <w:t>Ε</w:t>
      </w:r>
      <w:r w:rsidR="00F2269A" w:rsidRPr="00FE5CA3">
        <w:rPr>
          <w:rFonts w:ascii="Bookman Old Style" w:hAnsi="Bookman Old Style" w:cs="TimesNewRomanPSMT"/>
          <w:sz w:val="24"/>
          <w:szCs w:val="24"/>
        </w:rPr>
        <w:t xml:space="preserve">θνικά </w:t>
      </w:r>
      <w:r w:rsidR="00A104CA">
        <w:rPr>
          <w:rFonts w:ascii="Bookman Old Style" w:hAnsi="Bookman Old Style" w:cs="TimesNewRomanPSMT"/>
          <w:sz w:val="24"/>
          <w:szCs w:val="24"/>
        </w:rPr>
        <w:t>Δ</w:t>
      </w:r>
      <w:r w:rsidR="00F2269A" w:rsidRPr="00FE5CA3">
        <w:rPr>
          <w:rFonts w:ascii="Bookman Old Style" w:hAnsi="Bookman Old Style" w:cs="TimesNewRomanPSMT"/>
          <w:sz w:val="24"/>
          <w:szCs w:val="24"/>
        </w:rPr>
        <w:t>ικαστήρια</w:t>
      </w:r>
      <w:r w:rsidR="00A104C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 </w:t>
      </w:r>
      <w:r w:rsidR="00A104CA">
        <w:rPr>
          <w:rFonts w:ascii="Bookman Old Style" w:hAnsi="Bookman Old Style" w:cs="TimesNewRomanPSMT"/>
          <w:sz w:val="24"/>
          <w:szCs w:val="24"/>
        </w:rPr>
        <w:t>Δ</w:t>
      </w:r>
      <w:r w:rsidR="00F2269A" w:rsidRPr="00FE5CA3">
        <w:rPr>
          <w:rFonts w:ascii="Bookman Old Style" w:hAnsi="Bookman Old Style" w:cs="TimesNewRomanPSMT"/>
          <w:sz w:val="24"/>
          <w:szCs w:val="24"/>
        </w:rPr>
        <w:t>εν μπορεί όμως ν</w:t>
      </w:r>
      <w:r w:rsidR="00A104CA">
        <w:rPr>
          <w:rFonts w:ascii="Bookman Old Style" w:hAnsi="Bookman Old Style" w:cs="TimesNewRomanPSMT"/>
          <w:sz w:val="24"/>
          <w:szCs w:val="24"/>
        </w:rPr>
        <w:t>’</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απομακρύνεται από αυτές άνευ ετέρου. Οι ιδιαιτερότητες του </w:t>
      </w:r>
      <w:r w:rsidR="00F2269A">
        <w:rPr>
          <w:rFonts w:ascii="Bookman Old Style" w:hAnsi="Bookman Old Style" w:cs="TimesNewRomanPSMT"/>
          <w:sz w:val="24"/>
          <w:szCs w:val="24"/>
        </w:rPr>
        <w:t>Ευρωπαϊκού Δ</w:t>
      </w:r>
      <w:r w:rsidR="00F2269A" w:rsidRPr="00FE5CA3">
        <w:rPr>
          <w:rFonts w:ascii="Bookman Old Style" w:hAnsi="Bookman Old Style" w:cs="TimesNewRomanPSMT"/>
          <w:sz w:val="24"/>
          <w:szCs w:val="24"/>
        </w:rPr>
        <w:t>ικαίου απαιτούν</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σημαντικές αποκλίσεις ως προς τη</w:t>
      </w:r>
      <w:r w:rsidR="00A104CA">
        <w:rPr>
          <w:rFonts w:ascii="Bookman Old Style" w:hAnsi="Bookman Old Style" w:cs="TimesNewRomanPSMT"/>
          <w:sz w:val="24"/>
          <w:szCs w:val="24"/>
        </w:rPr>
        <w:t>ν</w:t>
      </w:r>
      <w:r w:rsidR="00F2269A" w:rsidRPr="00FE5CA3">
        <w:rPr>
          <w:rFonts w:ascii="Bookman Old Style" w:hAnsi="Bookman Old Style" w:cs="TimesNewRomanPSMT"/>
          <w:sz w:val="24"/>
          <w:szCs w:val="24"/>
        </w:rPr>
        <w:t xml:space="preserve"> σημασία και τη</w:t>
      </w:r>
      <w:r w:rsidR="00A104CA">
        <w:rPr>
          <w:rFonts w:ascii="Bookman Old Style" w:hAnsi="Bookman Old Style" w:cs="TimesNewRomanPSMT"/>
          <w:sz w:val="24"/>
          <w:szCs w:val="24"/>
        </w:rPr>
        <w:t>ν</w:t>
      </w:r>
      <w:r w:rsidR="00F2269A" w:rsidRPr="00FE5CA3">
        <w:rPr>
          <w:rFonts w:ascii="Bookman Old Style" w:hAnsi="Bookman Old Style" w:cs="TimesNewRomanPSMT"/>
          <w:sz w:val="24"/>
          <w:szCs w:val="24"/>
        </w:rPr>
        <w:t xml:space="preserve"> βαρύτητα των διαφόρων μέσων ερμηνείας του</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δικαίου. </w:t>
      </w:r>
    </w:p>
    <w:p w:rsidR="000052B1" w:rsidRDefault="000052B1" w:rsidP="00303AFA">
      <w:pPr>
        <w:autoSpaceDE w:val="0"/>
        <w:autoSpaceDN w:val="0"/>
        <w:adjustRightInd w:val="0"/>
        <w:spacing w:before="240" w:line="360" w:lineRule="auto"/>
        <w:ind w:left="1418" w:hanging="284"/>
        <w:jc w:val="both"/>
        <w:rPr>
          <w:rFonts w:ascii="Bookman Old Style" w:hAnsi="Bookman Old Style" w:cs="TimesNewRomanPSMT"/>
          <w:sz w:val="24"/>
          <w:szCs w:val="24"/>
        </w:rPr>
      </w:pPr>
      <w:r>
        <w:rPr>
          <w:rFonts w:ascii="Bookman Old Style" w:hAnsi="Bookman Old Style" w:cs="TimesNewRomanPSMT"/>
          <w:b/>
          <w:sz w:val="24"/>
          <w:szCs w:val="24"/>
        </w:rPr>
        <w:t>β2)</w:t>
      </w:r>
      <w:r w:rsidR="00F2269A" w:rsidRPr="00FE5CA3">
        <w:rPr>
          <w:rFonts w:ascii="Bookman Old Style" w:hAnsi="Bookman Old Style" w:cs="TimesNewRomanPSMT"/>
          <w:sz w:val="24"/>
          <w:szCs w:val="24"/>
        </w:rPr>
        <w:t>Η αρμοδιότητα ερμηνείας του ΔΕΕ</w:t>
      </w:r>
      <w:r w:rsidR="006543E5">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 κατ</w:t>
      </w:r>
      <w:r w:rsidR="006543E5">
        <w:rPr>
          <w:rFonts w:ascii="Bookman Old Style" w:hAnsi="Bookman Old Style" w:cs="TimesNewRomanPSMT"/>
          <w:sz w:val="24"/>
          <w:szCs w:val="24"/>
        </w:rPr>
        <w:t xml:space="preserve">ά τις διατάξεις του </w:t>
      </w:r>
      <w:r w:rsidR="00F2269A" w:rsidRPr="00FE5CA3">
        <w:rPr>
          <w:rFonts w:ascii="Bookman Old Style" w:hAnsi="Bookman Old Style" w:cs="TimesNewRomanPSMT"/>
          <w:sz w:val="24"/>
          <w:szCs w:val="24"/>
        </w:rPr>
        <w:t>άρθρ</w:t>
      </w:r>
      <w:r w:rsidR="00A36618">
        <w:rPr>
          <w:rFonts w:ascii="Bookman Old Style" w:hAnsi="Bookman Old Style" w:cs="TimesNewRomanPSMT"/>
          <w:sz w:val="24"/>
          <w:szCs w:val="24"/>
        </w:rPr>
        <w:t>ου</w:t>
      </w:r>
      <w:r w:rsidR="00F2269A" w:rsidRPr="00FE5CA3">
        <w:rPr>
          <w:rFonts w:ascii="Bookman Old Style" w:hAnsi="Bookman Old Style" w:cs="TimesNewRomanPSMT"/>
          <w:sz w:val="24"/>
          <w:szCs w:val="24"/>
        </w:rPr>
        <w:t xml:space="preserve"> 19 παρ. 1 εδαφ. 2</w:t>
      </w:r>
      <w:r w:rsidR="006543E5">
        <w:rPr>
          <w:rFonts w:ascii="Bookman Old Style" w:hAnsi="Bookman Old Style" w:cs="TimesNewRomanPSMT"/>
          <w:sz w:val="24"/>
          <w:szCs w:val="24"/>
        </w:rPr>
        <w:t xml:space="preserve"> της</w:t>
      </w:r>
      <w:r w:rsidR="00F2269A" w:rsidRPr="00FE5CA3">
        <w:rPr>
          <w:rFonts w:ascii="Bookman Old Style" w:hAnsi="Bookman Old Style" w:cs="TimesNewRomanPSMT"/>
          <w:sz w:val="24"/>
          <w:szCs w:val="24"/>
        </w:rPr>
        <w:t xml:space="preserve"> ΣΕΕ</w:t>
      </w:r>
      <w:r w:rsidR="006543E5">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δεν περιλαμβάνει</w:t>
      </w:r>
      <w:r w:rsidR="00F2269A">
        <w:rPr>
          <w:rFonts w:ascii="Bookman Old Style" w:hAnsi="Bookman Old Style" w:cs="TimesNewRomanPSMT"/>
          <w:sz w:val="24"/>
          <w:szCs w:val="24"/>
        </w:rPr>
        <w:t xml:space="preserve"> </w:t>
      </w:r>
      <w:r w:rsidR="006543E5">
        <w:rPr>
          <w:rFonts w:ascii="Bookman Old Style" w:hAnsi="Bookman Old Style" w:cs="TimesNewRomanPSMT"/>
          <w:sz w:val="24"/>
          <w:szCs w:val="24"/>
        </w:rPr>
        <w:t xml:space="preserve">και </w:t>
      </w:r>
      <w:r w:rsidR="00F2269A" w:rsidRPr="00FE5CA3">
        <w:rPr>
          <w:rFonts w:ascii="Bookman Old Style" w:hAnsi="Bookman Old Style" w:cs="TimesNewRomanPSMT"/>
          <w:sz w:val="24"/>
          <w:szCs w:val="24"/>
        </w:rPr>
        <w:t>τη</w:t>
      </w:r>
      <w:r w:rsidR="006543E5">
        <w:rPr>
          <w:rFonts w:ascii="Bookman Old Style" w:hAnsi="Bookman Old Style" w:cs="TimesNewRomanPSMT"/>
          <w:sz w:val="24"/>
          <w:szCs w:val="24"/>
        </w:rPr>
        <w:t>ν</w:t>
      </w:r>
      <w:r w:rsidR="00F2269A" w:rsidRPr="00FE5CA3">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lastRenderedPageBreak/>
        <w:t xml:space="preserve">δυνατότητα καταφανούς αδιαφορίας για τις γνωστές στον </w:t>
      </w:r>
      <w:r w:rsidR="006543E5">
        <w:rPr>
          <w:rFonts w:ascii="Bookman Old Style" w:hAnsi="Bookman Old Style" w:cs="TimesNewRomanPSMT"/>
          <w:sz w:val="24"/>
          <w:szCs w:val="24"/>
        </w:rPr>
        <w:t>Ε</w:t>
      </w:r>
      <w:r w:rsidR="00F2269A" w:rsidRPr="00FE5CA3">
        <w:rPr>
          <w:rFonts w:ascii="Bookman Old Style" w:hAnsi="Bookman Old Style" w:cs="TimesNewRomanPSMT"/>
          <w:sz w:val="24"/>
          <w:szCs w:val="24"/>
        </w:rPr>
        <w:t>υρωπαϊκό νομικό χώρο μεθόδους</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ερμηνείας του δικαίου ή τις νομικές αρχές που είναι κοινές στις </w:t>
      </w:r>
      <w:r w:rsidR="006543E5">
        <w:rPr>
          <w:rFonts w:ascii="Bookman Old Style" w:hAnsi="Bookman Old Style" w:cs="TimesNewRomanPSMT"/>
          <w:sz w:val="24"/>
          <w:szCs w:val="24"/>
        </w:rPr>
        <w:t>Έ</w:t>
      </w:r>
      <w:r w:rsidR="00F2269A" w:rsidRPr="00FE5CA3">
        <w:rPr>
          <w:rFonts w:ascii="Bookman Old Style" w:hAnsi="Bookman Old Style" w:cs="TimesNewRomanPSMT"/>
          <w:sz w:val="24"/>
          <w:szCs w:val="24"/>
        </w:rPr>
        <w:t xml:space="preserve">ννομες </w:t>
      </w:r>
      <w:r w:rsidR="006543E5">
        <w:rPr>
          <w:rFonts w:ascii="Bookman Old Style" w:hAnsi="Bookman Old Style" w:cs="TimesNewRomanPSMT"/>
          <w:sz w:val="24"/>
          <w:szCs w:val="24"/>
        </w:rPr>
        <w:t>Τ</w:t>
      </w:r>
      <w:r w:rsidR="00F2269A" w:rsidRPr="00FE5CA3">
        <w:rPr>
          <w:rFonts w:ascii="Bookman Old Style" w:hAnsi="Bookman Old Style" w:cs="TimesNewRomanPSMT"/>
          <w:sz w:val="24"/>
          <w:szCs w:val="24"/>
        </w:rPr>
        <w:t xml:space="preserve">άξεις των </w:t>
      </w:r>
      <w:r w:rsidR="00F2269A">
        <w:rPr>
          <w:rFonts w:ascii="Bookman Old Style" w:hAnsi="Bookman Old Style" w:cs="TimesNewRomanPSMT"/>
          <w:sz w:val="24"/>
          <w:szCs w:val="24"/>
        </w:rPr>
        <w:t>Κ</w:t>
      </w:r>
      <w:r w:rsidR="00F2269A" w:rsidRPr="00FE5CA3">
        <w:rPr>
          <w:rFonts w:ascii="Bookman Old Style" w:hAnsi="Bookman Old Style" w:cs="TimesNewRomanPSMT"/>
          <w:sz w:val="24"/>
          <w:szCs w:val="24"/>
        </w:rPr>
        <w:t>ρατών</w:t>
      </w:r>
      <w:r w:rsidR="00F2269A">
        <w:rPr>
          <w:rFonts w:ascii="Bookman Old Style" w:hAnsi="Bookman Old Style" w:cs="TimesNewRomanPSMT"/>
          <w:sz w:val="24"/>
          <w:szCs w:val="24"/>
        </w:rPr>
        <w:t>-Μ</w:t>
      </w:r>
      <w:r w:rsidR="00F2269A" w:rsidRPr="00FE5CA3">
        <w:rPr>
          <w:rFonts w:ascii="Bookman Old Style" w:hAnsi="Bookman Old Style" w:cs="TimesNewRomanPSMT"/>
          <w:sz w:val="24"/>
          <w:szCs w:val="24"/>
        </w:rPr>
        <w:t>ελών.</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Ως εκ τούτου, όταν τίθεται ζήτημα ερμηνείας του </w:t>
      </w:r>
      <w:r w:rsidR="00F2269A">
        <w:rPr>
          <w:rFonts w:ascii="Bookman Old Style" w:hAnsi="Bookman Old Style" w:cs="TimesNewRomanPSMT"/>
          <w:sz w:val="24"/>
          <w:szCs w:val="24"/>
        </w:rPr>
        <w:t>Ευρωπαϊκού Δ</w:t>
      </w:r>
      <w:r w:rsidR="00F2269A" w:rsidRPr="00FE5CA3">
        <w:rPr>
          <w:rFonts w:ascii="Bookman Old Style" w:hAnsi="Bookman Old Style" w:cs="TimesNewRomanPSMT"/>
          <w:sz w:val="24"/>
          <w:szCs w:val="24"/>
        </w:rPr>
        <w:t>ικαίου</w:t>
      </w:r>
      <w:r w:rsidR="006543E5">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το οποίο κατά </w:t>
      </w:r>
      <w:r w:rsidR="00F2269A">
        <w:rPr>
          <w:rFonts w:ascii="Bookman Old Style" w:hAnsi="Bookman Old Style" w:cs="TimesNewRomanPSMT"/>
          <w:sz w:val="24"/>
          <w:szCs w:val="24"/>
        </w:rPr>
        <w:t xml:space="preserve">τις </w:t>
      </w:r>
      <w:r w:rsidR="00F2269A" w:rsidRPr="00FE5CA3">
        <w:rPr>
          <w:rFonts w:ascii="Bookman Old Style" w:hAnsi="Bookman Old Style" w:cs="TimesNewRomanPSMT"/>
          <w:sz w:val="24"/>
          <w:szCs w:val="24"/>
        </w:rPr>
        <w:t xml:space="preserve">συνηθισμένες μεθόδους επίλυσης ερμηνευτικών νομικών ζητημάτων </w:t>
      </w:r>
      <w:r w:rsidR="006543E5">
        <w:rPr>
          <w:rFonts w:ascii="Bookman Old Style" w:hAnsi="Bookman Old Style" w:cs="TimesNewRomanPSMT"/>
          <w:sz w:val="24"/>
          <w:szCs w:val="24"/>
        </w:rPr>
        <w:t>μπορεί</w:t>
      </w:r>
      <w:r w:rsidR="00F2269A" w:rsidRPr="00FE5CA3">
        <w:rPr>
          <w:rFonts w:ascii="Bookman Old Style" w:hAnsi="Bookman Old Style" w:cs="TimesNewRomanPSMT"/>
          <w:sz w:val="24"/>
          <w:szCs w:val="24"/>
        </w:rPr>
        <w:t xml:space="preserve"> να οδηγήσει σε</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διαφορετικά συμπεράσματα, το </w:t>
      </w:r>
      <w:r w:rsidR="00F2269A">
        <w:rPr>
          <w:rFonts w:ascii="Bookman Old Style" w:hAnsi="Bookman Old Style" w:cs="TimesNewRomanPSMT"/>
          <w:sz w:val="24"/>
          <w:szCs w:val="24"/>
        </w:rPr>
        <w:t>Ομοσπονδιακό Συνταγματικό Δικαστήριο της Γερμανίας</w:t>
      </w:r>
      <w:r w:rsidR="00F2269A" w:rsidRPr="00FE5CA3">
        <w:rPr>
          <w:rFonts w:ascii="Bookman Old Style" w:hAnsi="Bookman Old Style" w:cs="TimesNewRomanPSMT"/>
          <w:sz w:val="24"/>
          <w:szCs w:val="24"/>
        </w:rPr>
        <w:t xml:space="preserve"> δεν έχει την αποστολή να προκρίνει τη</w:t>
      </w:r>
      <w:r w:rsidR="006543E5">
        <w:rPr>
          <w:rFonts w:ascii="Bookman Old Style" w:hAnsi="Bookman Old Style" w:cs="TimesNewRomanPSMT"/>
          <w:sz w:val="24"/>
          <w:szCs w:val="24"/>
        </w:rPr>
        <w:t>ν</w:t>
      </w:r>
      <w:r w:rsidR="00F2269A" w:rsidRPr="00FE5CA3">
        <w:rPr>
          <w:rFonts w:ascii="Bookman Old Style" w:hAnsi="Bookman Old Style" w:cs="TimesNewRomanPSMT"/>
          <w:sz w:val="24"/>
          <w:szCs w:val="24"/>
        </w:rPr>
        <w:t xml:space="preserve"> δική του</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ερμηνευτική προσέγγιση έναντι </w:t>
      </w:r>
      <w:r w:rsidR="006543E5">
        <w:rPr>
          <w:rFonts w:ascii="Bookman Old Style" w:hAnsi="Bookman Old Style" w:cs="TimesNewRomanPSMT"/>
          <w:sz w:val="24"/>
          <w:szCs w:val="24"/>
        </w:rPr>
        <w:t>εκείνης</w:t>
      </w:r>
      <w:r w:rsidR="00F2269A" w:rsidRPr="00FE5CA3">
        <w:rPr>
          <w:rFonts w:ascii="Bookman Old Style" w:hAnsi="Bookman Old Style" w:cs="TimesNewRomanPSMT"/>
          <w:sz w:val="24"/>
          <w:szCs w:val="24"/>
        </w:rPr>
        <w:t xml:space="preserve"> του ΔΕΕ (</w:t>
      </w:r>
      <w:r w:rsidR="00F2269A">
        <w:rPr>
          <w:rFonts w:ascii="Bookman Old Style" w:hAnsi="Bookman Old Style" w:cs="TimesNewRomanPSMT"/>
          <w:sz w:val="24"/>
          <w:szCs w:val="24"/>
        </w:rPr>
        <w:t xml:space="preserve">Ομοσπονδιακό Συνταγματικό Δικαστήριο της Γερμανίας </w:t>
      </w:r>
      <w:r w:rsidR="00F2269A" w:rsidRPr="00FE5CA3">
        <w:rPr>
          <w:rFonts w:ascii="Bookman Old Style" w:hAnsi="Bookman Old Style" w:cs="TimesNewRomanPSMT"/>
          <w:sz w:val="24"/>
          <w:szCs w:val="24"/>
        </w:rPr>
        <w:t>E 126, 286 &lt;307&gt;).</w:t>
      </w:r>
    </w:p>
    <w:p w:rsidR="00F2269A" w:rsidRPr="00FE5CA3" w:rsidRDefault="000052B1" w:rsidP="00303AFA">
      <w:pPr>
        <w:autoSpaceDE w:val="0"/>
        <w:autoSpaceDN w:val="0"/>
        <w:adjustRightInd w:val="0"/>
        <w:spacing w:before="240" w:line="360" w:lineRule="auto"/>
        <w:ind w:left="1418" w:hanging="284"/>
        <w:jc w:val="both"/>
        <w:rPr>
          <w:rFonts w:ascii="Bookman Old Style" w:hAnsi="Bookman Old Style" w:cs="TimesNewRomanPSMT"/>
          <w:sz w:val="24"/>
          <w:szCs w:val="24"/>
        </w:rPr>
      </w:pPr>
      <w:r>
        <w:rPr>
          <w:rFonts w:ascii="Bookman Old Style" w:hAnsi="Bookman Old Style" w:cs="TimesNewRomanPSMT"/>
          <w:b/>
          <w:sz w:val="24"/>
          <w:szCs w:val="24"/>
        </w:rPr>
        <w:t xml:space="preserve">β3) </w:t>
      </w:r>
      <w:r w:rsidR="00F2269A" w:rsidRPr="00FE5CA3">
        <w:rPr>
          <w:rFonts w:ascii="Bookman Old Style" w:hAnsi="Bookman Old Style" w:cs="TimesNewRomanPSMT"/>
          <w:sz w:val="24"/>
          <w:szCs w:val="24"/>
        </w:rPr>
        <w:t>Έτσι, ακόμη και σε</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περιπτώσεις, στις οποίες υπάρχουν σοβαρά επιχειρήματα κατά μιας υποστηριζόμενης από το ΔΕΕ</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ερμηνείας, το </w:t>
      </w:r>
      <w:r w:rsidR="00F2269A">
        <w:rPr>
          <w:rFonts w:ascii="Bookman Old Style" w:hAnsi="Bookman Old Style" w:cs="TimesNewRomanPSMT"/>
          <w:sz w:val="24"/>
          <w:szCs w:val="24"/>
        </w:rPr>
        <w:t xml:space="preserve">Ομοσπονδιακό Συνταγματικό Δικαστήριο της Γερμανίας </w:t>
      </w:r>
      <w:r w:rsidR="00F2269A" w:rsidRPr="00FE5CA3">
        <w:rPr>
          <w:rFonts w:ascii="Bookman Old Style" w:hAnsi="Bookman Old Style" w:cs="TimesNewRomanPSMT"/>
          <w:sz w:val="24"/>
          <w:szCs w:val="24"/>
        </w:rPr>
        <w:t>πρέπει να σέβεται την απόφαση του ΔΕΕ, εφόσον όμως η απόφασ</w:t>
      </w:r>
      <w:r w:rsidR="006543E5">
        <w:rPr>
          <w:rFonts w:ascii="Bookman Old Style" w:hAnsi="Bookman Old Style" w:cs="TimesNewRomanPSMT"/>
          <w:sz w:val="24"/>
          <w:szCs w:val="24"/>
        </w:rPr>
        <w:t>ή</w:t>
      </w:r>
      <w:r w:rsidR="00F2269A" w:rsidRPr="00FE5CA3">
        <w:rPr>
          <w:rFonts w:ascii="Bookman Old Style" w:hAnsi="Bookman Old Style" w:cs="TimesNewRomanPSMT"/>
          <w:sz w:val="24"/>
          <w:szCs w:val="24"/>
        </w:rPr>
        <w:t xml:space="preserve"> του</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βασίζεται σε αναγνωρισμένες μεθοδολογικές αρχές και δεν εμφανίζεται αντικειμενικ</w:t>
      </w:r>
      <w:r w:rsidR="006543E5">
        <w:rPr>
          <w:rFonts w:ascii="Bookman Old Style" w:hAnsi="Bookman Old Style" w:cs="TimesNewRomanPSMT"/>
          <w:sz w:val="24"/>
          <w:szCs w:val="24"/>
        </w:rPr>
        <w:t>ώς</w:t>
      </w:r>
      <w:r w:rsidR="00F2269A" w:rsidRPr="00FE5CA3">
        <w:rPr>
          <w:rFonts w:ascii="Bookman Old Style" w:hAnsi="Bookman Old Style" w:cs="TimesNewRomanPSMT"/>
          <w:sz w:val="24"/>
          <w:szCs w:val="24"/>
        </w:rPr>
        <w:t xml:space="preserve"> ως</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αυθαίρετη.</w:t>
      </w:r>
    </w:p>
    <w:p w:rsidR="006543E5" w:rsidRPr="006543E5" w:rsidRDefault="00F2269A" w:rsidP="00303AFA">
      <w:pPr>
        <w:autoSpaceDE w:val="0"/>
        <w:autoSpaceDN w:val="0"/>
        <w:adjustRightInd w:val="0"/>
        <w:spacing w:before="240" w:line="360" w:lineRule="auto"/>
        <w:ind w:left="851" w:hanging="284"/>
        <w:jc w:val="both"/>
        <w:rPr>
          <w:rFonts w:ascii="Bookman Old Style" w:hAnsi="Bookman Old Style" w:cs="TimesNewRomanPSMT"/>
          <w:b/>
          <w:sz w:val="24"/>
          <w:szCs w:val="24"/>
        </w:rPr>
      </w:pPr>
      <w:r w:rsidRPr="00057A81">
        <w:rPr>
          <w:rFonts w:ascii="Bookman Old Style" w:hAnsi="Bookman Old Style" w:cs="TimesNewRomanPSMT"/>
          <w:b/>
          <w:sz w:val="24"/>
          <w:szCs w:val="24"/>
        </w:rPr>
        <w:t>2.</w:t>
      </w:r>
      <w:r w:rsidR="006543E5">
        <w:rPr>
          <w:rFonts w:ascii="Bookman Old Style" w:hAnsi="Bookman Old Style" w:cs="TimesNewRomanPSMT"/>
          <w:sz w:val="24"/>
          <w:szCs w:val="24"/>
        </w:rPr>
        <w:t xml:space="preserve"> </w:t>
      </w:r>
      <w:r w:rsidR="006543E5">
        <w:rPr>
          <w:rFonts w:ascii="Bookman Old Style" w:hAnsi="Bookman Old Style" w:cs="TimesNewRomanPSMT"/>
          <w:b/>
          <w:sz w:val="24"/>
          <w:szCs w:val="24"/>
        </w:rPr>
        <w:t>Τα όρια της κρίσης του ΔΕΕ.</w:t>
      </w:r>
    </w:p>
    <w:p w:rsidR="00F2269A" w:rsidRPr="00FE5CA3" w:rsidRDefault="00F2269A" w:rsidP="00303AFA">
      <w:pPr>
        <w:autoSpaceDE w:val="0"/>
        <w:autoSpaceDN w:val="0"/>
        <w:adjustRightInd w:val="0"/>
        <w:spacing w:before="240" w:line="360" w:lineRule="auto"/>
        <w:ind w:left="851" w:hanging="131"/>
        <w:jc w:val="both"/>
        <w:rPr>
          <w:rFonts w:ascii="Bookman Old Style" w:hAnsi="Bookman Old Style" w:cs="TimesNewRomanPSMT"/>
          <w:sz w:val="24"/>
          <w:szCs w:val="24"/>
        </w:rPr>
      </w:pPr>
      <w:r w:rsidRPr="00FE5CA3">
        <w:rPr>
          <w:rFonts w:ascii="Bookman Old Style" w:hAnsi="Bookman Old Style" w:cs="TimesNewRomanPSMT"/>
          <w:sz w:val="24"/>
          <w:szCs w:val="24"/>
        </w:rPr>
        <w:t>Η κρίση του ΔΕΕ</w:t>
      </w:r>
      <w:r w:rsidR="006543E5">
        <w:rPr>
          <w:rFonts w:ascii="Bookman Old Style" w:hAnsi="Bookman Old Style" w:cs="TimesNewRomanPSMT"/>
          <w:sz w:val="24"/>
          <w:szCs w:val="24"/>
        </w:rPr>
        <w:t>, κατά την οποία</w:t>
      </w:r>
      <w:r w:rsidRPr="00FE5CA3">
        <w:rPr>
          <w:rFonts w:ascii="Bookman Old Style" w:hAnsi="Bookman Old Style" w:cs="TimesNewRomanPSMT"/>
          <w:sz w:val="24"/>
          <w:szCs w:val="24"/>
        </w:rPr>
        <w:t xml:space="preserve"> η απόφαση της ΕΚΤ σχετικά με το</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πρόγραμμα </w:t>
      </w:r>
      <w:r w:rsidR="006543E5">
        <w:rPr>
          <w:rFonts w:ascii="Bookman Old Style" w:hAnsi="Bookman Old Style" w:cs="TimesNewRomanPSMT"/>
          <w:sz w:val="24"/>
          <w:szCs w:val="24"/>
        </w:rPr>
        <w:t>«</w:t>
      </w:r>
      <w:r w:rsidRPr="00FE5CA3">
        <w:rPr>
          <w:rFonts w:ascii="Bookman Old Style" w:hAnsi="Bookman Old Style" w:cs="TimesNewRomanPSMT"/>
          <w:sz w:val="24"/>
          <w:szCs w:val="24"/>
        </w:rPr>
        <w:t>PSPP</w:t>
      </w:r>
      <w:r w:rsidR="006543E5">
        <w:rPr>
          <w:rFonts w:ascii="Bookman Old Style" w:hAnsi="Bookman Old Style" w:cs="TimesNewRomanPSMT"/>
          <w:sz w:val="24"/>
          <w:szCs w:val="24"/>
        </w:rPr>
        <w:t>»</w:t>
      </w:r>
      <w:r w:rsidRPr="00FE5CA3">
        <w:rPr>
          <w:rFonts w:ascii="Bookman Old Style" w:hAnsi="Bookman Old Style" w:cs="TimesNewRomanPSMT"/>
          <w:sz w:val="24"/>
          <w:szCs w:val="24"/>
        </w:rPr>
        <w:t xml:space="preserve"> και τις τροποποιήσεις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είναι εντός των</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αρμοδιοτήτων της ΕΚΤ</w:t>
      </w:r>
      <w:r w:rsidR="006543E5">
        <w:rPr>
          <w:rFonts w:ascii="Bookman Old Style" w:hAnsi="Bookman Old Style" w:cs="TimesNewRomanPSMT"/>
          <w:sz w:val="24"/>
          <w:szCs w:val="24"/>
        </w:rPr>
        <w:t>,</w:t>
      </w:r>
      <w:r w:rsidRPr="00FE5CA3">
        <w:rPr>
          <w:rFonts w:ascii="Bookman Old Style" w:hAnsi="Bookman Old Style" w:cs="TimesNewRomanPSMT"/>
          <w:sz w:val="24"/>
          <w:szCs w:val="24"/>
        </w:rPr>
        <w:t xml:space="preserve"> αγνοεί με καταφανή τρόπο τη</w:t>
      </w:r>
      <w:r w:rsidR="006543E5">
        <w:rPr>
          <w:rFonts w:ascii="Bookman Old Style" w:hAnsi="Bookman Old Style" w:cs="TimesNewRomanPSMT"/>
          <w:sz w:val="24"/>
          <w:szCs w:val="24"/>
        </w:rPr>
        <w:t>ν</w:t>
      </w:r>
      <w:r w:rsidRPr="00FE5CA3">
        <w:rPr>
          <w:rFonts w:ascii="Bookman Old Style" w:hAnsi="Bookman Old Style" w:cs="TimesNewRomanPSMT"/>
          <w:sz w:val="24"/>
          <w:szCs w:val="24"/>
        </w:rPr>
        <w:t xml:space="preserve"> σημασία της αρχής </w:t>
      </w:r>
      <w:r>
        <w:rPr>
          <w:rFonts w:ascii="Bookman Old Style" w:hAnsi="Bookman Old Style" w:cs="TimesNewRomanPSMT"/>
          <w:sz w:val="24"/>
          <w:szCs w:val="24"/>
        </w:rPr>
        <w:t xml:space="preserve">της </w:t>
      </w:r>
      <w:r w:rsidRPr="00FE5CA3">
        <w:rPr>
          <w:rFonts w:ascii="Bookman Old Style" w:hAnsi="Bookman Old Style" w:cs="TimesNewRomanPSMT"/>
          <w:sz w:val="24"/>
          <w:szCs w:val="24"/>
        </w:rPr>
        <w:t xml:space="preserve">αναλογικότητας, η οποία πρέπει να γίνεται </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σεβαστή και σε σχέση με τον καταμερισμό</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αρμοδιοτήτων μεταξύ </w:t>
      </w:r>
      <w:r w:rsidR="00633B1F">
        <w:rPr>
          <w:rFonts w:ascii="Bookman Old Style" w:hAnsi="Bookman Old Style" w:cs="TimesNewRomanPSMT"/>
          <w:sz w:val="24"/>
          <w:szCs w:val="24"/>
        </w:rPr>
        <w:t>Κ</w:t>
      </w:r>
      <w:r w:rsidRPr="00FE5CA3">
        <w:rPr>
          <w:rFonts w:ascii="Bookman Old Style" w:hAnsi="Bookman Old Style" w:cs="TimesNewRomanPSMT"/>
          <w:sz w:val="24"/>
          <w:szCs w:val="24"/>
        </w:rPr>
        <w:t>ρατών</w:t>
      </w:r>
      <w:r w:rsidR="00633B1F">
        <w:rPr>
          <w:rFonts w:ascii="Bookman Old Style" w:hAnsi="Bookman Old Style" w:cs="TimesNewRomanPSMT"/>
          <w:sz w:val="24"/>
          <w:szCs w:val="24"/>
        </w:rPr>
        <w:t>-Μ</w:t>
      </w:r>
      <w:r w:rsidRPr="00FE5CA3">
        <w:rPr>
          <w:rFonts w:ascii="Bookman Old Style" w:hAnsi="Bookman Old Style" w:cs="TimesNewRomanPSMT"/>
          <w:sz w:val="24"/>
          <w:szCs w:val="24"/>
        </w:rPr>
        <w:t xml:space="preserve">ελών και </w:t>
      </w:r>
      <w:r w:rsidR="006543E5">
        <w:rPr>
          <w:rFonts w:ascii="Bookman Old Style" w:hAnsi="Bookman Old Style" w:cs="TimesNewRomanPSMT"/>
          <w:sz w:val="24"/>
          <w:szCs w:val="24"/>
        </w:rPr>
        <w:t>Ευρωπαϊκής Ένωσης</w:t>
      </w:r>
      <w:r w:rsidRPr="00FE5CA3">
        <w:rPr>
          <w:rFonts w:ascii="Bookman Old Style" w:hAnsi="Bookman Old Style" w:cs="TimesNewRomanPSMT"/>
          <w:sz w:val="24"/>
          <w:szCs w:val="24"/>
        </w:rPr>
        <w:t xml:space="preserve"> </w:t>
      </w:r>
      <w:r w:rsidR="006543E5">
        <w:rPr>
          <w:rFonts w:ascii="Bookman Old Style" w:hAnsi="Bookman Old Style" w:cs="TimesNewRomanPSMT"/>
          <w:sz w:val="24"/>
          <w:szCs w:val="24"/>
        </w:rPr>
        <w:t>-</w:t>
      </w:r>
      <w:r w:rsidRPr="00FE5CA3">
        <w:rPr>
          <w:rFonts w:ascii="Bookman Old Style" w:hAnsi="Bookman Old Style" w:cs="TimesNewRomanPSMT"/>
          <w:sz w:val="24"/>
          <w:szCs w:val="24"/>
        </w:rPr>
        <w:t xml:space="preserve">άρθρο 5 παρ. 1 εδαφ. 2 και παρ. 4 </w:t>
      </w:r>
      <w:r w:rsidR="006543E5">
        <w:rPr>
          <w:rFonts w:ascii="Bookman Old Style" w:hAnsi="Bookman Old Style" w:cs="TimesNewRomanPSMT"/>
          <w:sz w:val="24"/>
          <w:szCs w:val="24"/>
        </w:rPr>
        <w:t xml:space="preserve">της </w:t>
      </w:r>
      <w:r w:rsidRPr="00FE5CA3">
        <w:rPr>
          <w:rFonts w:ascii="Bookman Old Style" w:hAnsi="Bookman Old Style" w:cs="TimesNewRomanPSMT"/>
          <w:sz w:val="24"/>
          <w:szCs w:val="24"/>
        </w:rPr>
        <w:t>ΣΕΕ</w:t>
      </w:r>
      <w:r w:rsidR="006543E5">
        <w:rPr>
          <w:rFonts w:ascii="Bookman Old Style" w:hAnsi="Bookman Old Style" w:cs="TimesNewRomanPSMT"/>
          <w:sz w:val="24"/>
          <w:szCs w:val="24"/>
        </w:rPr>
        <w:t>-</w:t>
      </w:r>
      <w:r w:rsidRPr="00FE5CA3">
        <w:rPr>
          <w:rFonts w:ascii="Bookman Old Style" w:hAnsi="Bookman Old Style" w:cs="TimesNewRomanPSMT"/>
          <w:sz w:val="24"/>
          <w:szCs w:val="24"/>
        </w:rPr>
        <w:t xml:space="preserve"> και δεν</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είναι υποστηρίξιμη μεθοδολογικ</w:t>
      </w:r>
      <w:r w:rsidR="006543E5">
        <w:rPr>
          <w:rFonts w:ascii="Bookman Old Style" w:hAnsi="Bookman Old Style" w:cs="TimesNewRomanPSMT"/>
          <w:sz w:val="24"/>
          <w:szCs w:val="24"/>
        </w:rPr>
        <w:t>ώς</w:t>
      </w:r>
      <w:r w:rsidRPr="00FE5CA3">
        <w:rPr>
          <w:rFonts w:ascii="Bookman Old Style" w:hAnsi="Bookman Old Style" w:cs="TimesNewRomanPSMT"/>
          <w:sz w:val="24"/>
          <w:szCs w:val="24"/>
        </w:rPr>
        <w:t xml:space="preserve"> για τον λόγο ότι</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δεν λαμβάνει καθόλου υπόψ</w:t>
      </w:r>
      <w:r w:rsidR="006543E5">
        <w:rPr>
          <w:rFonts w:ascii="Bookman Old Style" w:hAnsi="Bookman Old Style" w:cs="TimesNewRomanPSMT"/>
          <w:sz w:val="24"/>
          <w:szCs w:val="24"/>
        </w:rPr>
        <w:t>η</w:t>
      </w:r>
      <w:r w:rsidRPr="00FE5CA3">
        <w:rPr>
          <w:rFonts w:ascii="Bookman Old Style" w:hAnsi="Bookman Old Style" w:cs="TimesNewRomanPSMT"/>
          <w:sz w:val="24"/>
          <w:szCs w:val="24"/>
        </w:rPr>
        <w:t xml:space="preserve"> τις πραγματικές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επιπτώσεις του προγράμματος στην οικονομική πολιτική.</w:t>
      </w:r>
    </w:p>
    <w:p w:rsidR="00633B1F" w:rsidRDefault="00F2269A" w:rsidP="00303AFA">
      <w:pPr>
        <w:autoSpaceDE w:val="0"/>
        <w:autoSpaceDN w:val="0"/>
        <w:adjustRightInd w:val="0"/>
        <w:spacing w:before="240" w:line="360" w:lineRule="auto"/>
        <w:ind w:left="1134" w:hanging="283"/>
        <w:jc w:val="both"/>
        <w:rPr>
          <w:rFonts w:ascii="Bookman Old Style" w:hAnsi="Bookman Old Style" w:cs="TimesNewRomanPSMT"/>
          <w:sz w:val="24"/>
          <w:szCs w:val="24"/>
        </w:rPr>
      </w:pPr>
      <w:r>
        <w:rPr>
          <w:rFonts w:ascii="Bookman Old Style" w:hAnsi="Bookman Old Style" w:cs="TimesNewRomanPSMT"/>
          <w:b/>
          <w:sz w:val="24"/>
          <w:szCs w:val="24"/>
        </w:rPr>
        <w:t xml:space="preserve">α) </w:t>
      </w:r>
      <w:r w:rsidRPr="00FE5CA3">
        <w:rPr>
          <w:rFonts w:ascii="Bookman Old Style" w:hAnsi="Bookman Old Style" w:cs="TimesNewRomanPSMT"/>
          <w:sz w:val="24"/>
          <w:szCs w:val="24"/>
        </w:rPr>
        <w:t>Η προσέγγιση του ΔΕΕ, κατά την οποία δεν λαμβάνονται</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υπόψ</w:t>
      </w:r>
      <w:r w:rsidR="006543E5">
        <w:rPr>
          <w:rFonts w:ascii="Bookman Old Style" w:hAnsi="Bookman Old Style" w:cs="TimesNewRomanPSMT"/>
          <w:sz w:val="24"/>
          <w:szCs w:val="24"/>
        </w:rPr>
        <w:t>η</w:t>
      </w:r>
      <w:r w:rsidRPr="00FE5CA3">
        <w:rPr>
          <w:rFonts w:ascii="Bookman Old Style" w:hAnsi="Bookman Old Style" w:cs="TimesNewRomanPSMT"/>
          <w:sz w:val="24"/>
          <w:szCs w:val="24"/>
        </w:rPr>
        <w:t xml:space="preserve"> κατά τον έλεγχο αναλογικότητας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οι πραγματικές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επιπτώσεις του προγράμματος και παραλείπεται μια συνολική</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εκτίμηση και</w:t>
      </w:r>
      <w:r>
        <w:rPr>
          <w:rFonts w:ascii="Bookman Old Style" w:hAnsi="Bookman Old Style" w:cs="TimesNewRomanPSMT"/>
          <w:sz w:val="24"/>
          <w:szCs w:val="24"/>
        </w:rPr>
        <w:t xml:space="preserve"> </w:t>
      </w:r>
      <w:r w:rsidRPr="00FE5CA3">
        <w:rPr>
          <w:rFonts w:ascii="Bookman Old Style" w:hAnsi="Bookman Old Style" w:cs="TimesNewRomanPSMT"/>
          <w:sz w:val="24"/>
          <w:szCs w:val="24"/>
        </w:rPr>
        <w:lastRenderedPageBreak/>
        <w:t>αξιολόγηση του προγράμματος</w:t>
      </w:r>
      <w:r w:rsidR="006543E5">
        <w:rPr>
          <w:rFonts w:ascii="Bookman Old Style" w:hAnsi="Bookman Old Style" w:cs="TimesNewRomanPSMT"/>
          <w:sz w:val="24"/>
          <w:szCs w:val="24"/>
        </w:rPr>
        <w:t>,</w:t>
      </w:r>
      <w:r w:rsidRPr="00FE5CA3">
        <w:rPr>
          <w:rFonts w:ascii="Bookman Old Style" w:hAnsi="Bookman Old Style" w:cs="TimesNewRomanPSMT"/>
          <w:sz w:val="24"/>
          <w:szCs w:val="24"/>
        </w:rPr>
        <w:t xml:space="preserve"> δεν</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ανταποκρίνεται στις απαιτήσεις του ελέγχου τήρησης </w:t>
      </w:r>
      <w:r>
        <w:rPr>
          <w:rFonts w:ascii="Bookman Old Style" w:hAnsi="Bookman Old Style" w:cs="TimesNewRomanPSMT"/>
          <w:sz w:val="24"/>
          <w:szCs w:val="24"/>
        </w:rPr>
        <w:t xml:space="preserve">της </w:t>
      </w:r>
      <w:r w:rsidRPr="00FE5CA3">
        <w:rPr>
          <w:rFonts w:ascii="Bookman Old Style" w:hAnsi="Bookman Old Style" w:cs="TimesNewRomanPSMT"/>
          <w:sz w:val="24"/>
          <w:szCs w:val="24"/>
        </w:rPr>
        <w:t>αρμοδιότητας άσκησης νομισματικής πολιτικής από το</w:t>
      </w:r>
      <w:r>
        <w:rPr>
          <w:rFonts w:ascii="Bookman Old Style" w:hAnsi="Bookman Old Style" w:cs="TimesNewRomanPSMT"/>
          <w:sz w:val="24"/>
          <w:szCs w:val="24"/>
        </w:rPr>
        <w:t xml:space="preserve"> </w:t>
      </w:r>
      <w:r w:rsidR="006543E5">
        <w:rPr>
          <w:rFonts w:ascii="Bookman Old Style" w:hAnsi="Bookman Old Style" w:cs="TimesNewRomanPSMT"/>
          <w:sz w:val="24"/>
          <w:szCs w:val="24"/>
        </w:rPr>
        <w:t>ΕΣΚΤ</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και την ΕΚΤ. Στο πλαίσιο της προσέγγισης </w:t>
      </w:r>
      <w:r w:rsidR="006543E5">
        <w:rPr>
          <w:rFonts w:ascii="Bookman Old Style" w:hAnsi="Bookman Old Style" w:cs="TimesNewRomanPSMT"/>
          <w:sz w:val="24"/>
          <w:szCs w:val="24"/>
        </w:rPr>
        <w:t>αυτής,</w:t>
      </w:r>
      <w:r w:rsidRPr="00FE5CA3">
        <w:rPr>
          <w:rFonts w:ascii="Bookman Old Style" w:hAnsi="Bookman Old Style" w:cs="TimesNewRomanPSMT"/>
          <w:sz w:val="24"/>
          <w:szCs w:val="24"/>
        </w:rPr>
        <w:t xml:space="preserve"> η αρχή της αναλογικότητας δεν </w:t>
      </w:r>
      <w:r w:rsidR="006543E5">
        <w:rPr>
          <w:rFonts w:ascii="Bookman Old Style" w:hAnsi="Bookman Old Style" w:cs="TimesNewRomanPSMT"/>
          <w:sz w:val="24"/>
          <w:szCs w:val="24"/>
        </w:rPr>
        <w:t>μπορεί</w:t>
      </w:r>
      <w:r w:rsidRPr="00FE5CA3">
        <w:rPr>
          <w:rFonts w:ascii="Bookman Old Style" w:hAnsi="Bookman Old Style" w:cs="TimesNewRomanPSMT"/>
          <w:sz w:val="24"/>
          <w:szCs w:val="24"/>
        </w:rPr>
        <w:t xml:space="preserve"> να</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εκπληρώσει τη</w:t>
      </w:r>
      <w:r w:rsidR="00A36618">
        <w:rPr>
          <w:rFonts w:ascii="Bookman Old Style" w:hAnsi="Bookman Old Style" w:cs="TimesNewRomanPSMT"/>
          <w:sz w:val="24"/>
          <w:szCs w:val="24"/>
        </w:rPr>
        <w:t>ν</w:t>
      </w:r>
      <w:r w:rsidRPr="00FE5CA3">
        <w:rPr>
          <w:rFonts w:ascii="Bookman Old Style" w:hAnsi="Bookman Old Style" w:cs="TimesNewRomanPSMT"/>
          <w:sz w:val="24"/>
          <w:szCs w:val="24"/>
        </w:rPr>
        <w:t xml:space="preserve"> διορθωτική λειτουργία που</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εξυπηρετεί προς προστασία των αρμοδιοτήτων των</w:t>
      </w:r>
      <w:r>
        <w:rPr>
          <w:rFonts w:ascii="Bookman Old Style" w:hAnsi="Bookman Old Style" w:cs="TimesNewRomanPSMT"/>
          <w:sz w:val="24"/>
          <w:szCs w:val="24"/>
        </w:rPr>
        <w:t xml:space="preserve"> </w:t>
      </w:r>
      <w:r w:rsidR="00633B1F">
        <w:rPr>
          <w:rFonts w:ascii="Bookman Old Style" w:hAnsi="Bookman Old Style" w:cs="TimesNewRomanPSMT"/>
          <w:sz w:val="24"/>
          <w:szCs w:val="24"/>
        </w:rPr>
        <w:t>Κ</w:t>
      </w:r>
      <w:r w:rsidRPr="00FE5CA3">
        <w:rPr>
          <w:rFonts w:ascii="Bookman Old Style" w:hAnsi="Bookman Old Style" w:cs="TimesNewRomanPSMT"/>
          <w:sz w:val="24"/>
          <w:szCs w:val="24"/>
        </w:rPr>
        <w:t>ρατών</w:t>
      </w:r>
      <w:r w:rsidR="00633B1F">
        <w:rPr>
          <w:rFonts w:ascii="Bookman Old Style" w:hAnsi="Bookman Old Style" w:cs="TimesNewRomanPSMT"/>
          <w:sz w:val="24"/>
          <w:szCs w:val="24"/>
        </w:rPr>
        <w:t>-Μ</w:t>
      </w:r>
      <w:r w:rsidRPr="00FE5CA3">
        <w:rPr>
          <w:rFonts w:ascii="Bookman Old Style" w:hAnsi="Bookman Old Style" w:cs="TimesNewRomanPSMT"/>
          <w:sz w:val="24"/>
          <w:szCs w:val="24"/>
        </w:rPr>
        <w:t>ελών, κάτι που καθιστά τελικ</w:t>
      </w:r>
      <w:r w:rsidR="00A36618">
        <w:rPr>
          <w:rFonts w:ascii="Bookman Old Style" w:hAnsi="Bookman Old Style" w:cs="TimesNewRomanPSMT"/>
          <w:sz w:val="24"/>
          <w:szCs w:val="24"/>
        </w:rPr>
        <w:t>ώς</w:t>
      </w:r>
      <w:r w:rsidRPr="00FE5CA3">
        <w:rPr>
          <w:rFonts w:ascii="Bookman Old Style" w:hAnsi="Bookman Old Style" w:cs="TimesNewRomanPSMT"/>
          <w:sz w:val="24"/>
          <w:szCs w:val="24"/>
        </w:rPr>
        <w:t xml:space="preserve"> άνευ αντικειμένου την αρχή της δοτής αρμοδιότητας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(άρθρο 5 παρ. 1 εδαφ. 1 και 2</w:t>
      </w:r>
      <w:r w:rsidR="006543E5">
        <w:rPr>
          <w:rFonts w:ascii="Bookman Old Style" w:hAnsi="Bookman Old Style" w:cs="TimesNewRomanPSMT"/>
          <w:sz w:val="24"/>
          <w:szCs w:val="24"/>
        </w:rPr>
        <w:t xml:space="preserve"> της</w:t>
      </w:r>
      <w:r w:rsidRPr="00FE5CA3">
        <w:rPr>
          <w:rFonts w:ascii="Bookman Old Style" w:hAnsi="Bookman Old Style" w:cs="TimesNewRomanPSMT"/>
          <w:sz w:val="24"/>
          <w:szCs w:val="24"/>
        </w:rPr>
        <w:t xml:space="preserve"> ΣΕΕ).</w:t>
      </w:r>
    </w:p>
    <w:p w:rsidR="00F2269A" w:rsidRPr="00FE5CA3" w:rsidRDefault="00F2269A" w:rsidP="00303AFA">
      <w:pPr>
        <w:autoSpaceDE w:val="0"/>
        <w:autoSpaceDN w:val="0"/>
        <w:adjustRightInd w:val="0"/>
        <w:spacing w:before="240" w:line="360" w:lineRule="auto"/>
        <w:ind w:left="1134" w:hanging="283"/>
        <w:jc w:val="both"/>
        <w:rPr>
          <w:rFonts w:ascii="Bookman Old Style" w:hAnsi="Bookman Old Style" w:cs="TimesNewRomanPSMT"/>
          <w:sz w:val="24"/>
          <w:szCs w:val="24"/>
        </w:rPr>
      </w:pPr>
      <w:r>
        <w:rPr>
          <w:rFonts w:ascii="Bookman Old Style" w:hAnsi="Bookman Old Style" w:cs="TimesNewRomanPSMT"/>
          <w:sz w:val="24"/>
          <w:szCs w:val="24"/>
        </w:rPr>
        <w:t xml:space="preserve"> </w:t>
      </w:r>
      <w:r>
        <w:rPr>
          <w:rFonts w:ascii="Bookman Old Style" w:hAnsi="Bookman Old Style" w:cs="TimesNewRomanPSMT"/>
          <w:b/>
          <w:sz w:val="24"/>
          <w:szCs w:val="24"/>
        </w:rPr>
        <w:t xml:space="preserve">β) </w:t>
      </w:r>
      <w:r w:rsidRPr="00FE5CA3">
        <w:rPr>
          <w:rFonts w:ascii="Bookman Old Style" w:hAnsi="Bookman Old Style" w:cs="TimesNewRomanPSMT"/>
          <w:sz w:val="24"/>
          <w:szCs w:val="24"/>
        </w:rPr>
        <w:t xml:space="preserve">Η πλήρης αγνόηση όλων των επιπτώσεων του προγράμματος </w:t>
      </w:r>
      <w:r w:rsidR="006543E5">
        <w:rPr>
          <w:rFonts w:ascii="Bookman Old Style" w:hAnsi="Bookman Old Style" w:cs="TimesNewRomanPSMT"/>
          <w:sz w:val="24"/>
          <w:szCs w:val="24"/>
        </w:rPr>
        <w:t>κατά την</w:t>
      </w:r>
      <w:r w:rsidRPr="00FE5CA3">
        <w:rPr>
          <w:rFonts w:ascii="Bookman Old Style" w:hAnsi="Bookman Old Style" w:cs="TimesNewRomanPSMT"/>
          <w:sz w:val="24"/>
          <w:szCs w:val="24"/>
        </w:rPr>
        <w:t xml:space="preserve"> άσκηση οικονομικής πολιτικής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είναι αντίθετη και στην μεθοδολογία που εφαρμόζει το ΔΕΕ σε σχεδόν όλους τους υπόλοιπους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τομείς της </w:t>
      </w:r>
      <w:r w:rsidR="00802808">
        <w:rPr>
          <w:rFonts w:ascii="Bookman Old Style" w:hAnsi="Bookman Old Style" w:cs="TimesNewRomanPSMT"/>
          <w:sz w:val="24"/>
          <w:szCs w:val="24"/>
        </w:rPr>
        <w:t>Ευρωπαϊκής</w:t>
      </w:r>
      <w:r w:rsidRPr="00FE5CA3">
        <w:rPr>
          <w:rFonts w:ascii="Bookman Old Style" w:hAnsi="Bookman Old Style" w:cs="TimesNewRomanPSMT"/>
          <w:sz w:val="24"/>
          <w:szCs w:val="24"/>
        </w:rPr>
        <w:t xml:space="preserve"> </w:t>
      </w:r>
      <w:r w:rsidR="003770B9">
        <w:rPr>
          <w:rFonts w:ascii="Bookman Old Style" w:hAnsi="Bookman Old Style" w:cs="TimesNewRomanPSMT"/>
          <w:sz w:val="24"/>
          <w:szCs w:val="24"/>
        </w:rPr>
        <w:t>Έ</w:t>
      </w:r>
      <w:r w:rsidRPr="00FE5CA3">
        <w:rPr>
          <w:rFonts w:ascii="Bookman Old Style" w:hAnsi="Bookman Old Style" w:cs="TimesNewRomanPSMT"/>
          <w:sz w:val="24"/>
          <w:szCs w:val="24"/>
        </w:rPr>
        <w:t xml:space="preserve">ννομης </w:t>
      </w:r>
      <w:r w:rsidR="003770B9">
        <w:rPr>
          <w:rFonts w:ascii="Bookman Old Style" w:hAnsi="Bookman Old Style" w:cs="TimesNewRomanPSMT"/>
          <w:sz w:val="24"/>
          <w:szCs w:val="24"/>
        </w:rPr>
        <w:t>Τ</w:t>
      </w:r>
      <w:r w:rsidRPr="00FE5CA3">
        <w:rPr>
          <w:rFonts w:ascii="Bookman Old Style" w:hAnsi="Bookman Old Style" w:cs="TimesNewRomanPSMT"/>
          <w:sz w:val="24"/>
          <w:szCs w:val="24"/>
        </w:rPr>
        <w:t>άξης. Τούτο δεν συνάδει με τη</w:t>
      </w:r>
      <w:r w:rsidR="003770B9">
        <w:rPr>
          <w:rFonts w:ascii="Bookman Old Style" w:hAnsi="Bookman Old Style" w:cs="TimesNewRomanPSMT"/>
          <w:sz w:val="24"/>
          <w:szCs w:val="24"/>
        </w:rPr>
        <w:t>ν</w:t>
      </w:r>
      <w:r w:rsidRPr="00FE5CA3">
        <w:rPr>
          <w:rFonts w:ascii="Bookman Old Style" w:hAnsi="Bookman Old Style" w:cs="TimesNewRomanPSMT"/>
          <w:sz w:val="24"/>
          <w:szCs w:val="24"/>
        </w:rPr>
        <w:t xml:space="preserve"> λειτουργία της αρχής της δοτής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αρμοδιότητας και τις συνέπειες που </w:t>
      </w:r>
      <w:r w:rsidR="003770B9">
        <w:rPr>
          <w:rFonts w:ascii="Bookman Old Style" w:hAnsi="Bookman Old Style" w:cs="TimesNewRomanPSMT"/>
          <w:sz w:val="24"/>
          <w:szCs w:val="24"/>
        </w:rPr>
        <w:t xml:space="preserve">εκπορεύονται </w:t>
      </w:r>
      <w:r w:rsidRPr="00FE5CA3">
        <w:rPr>
          <w:rFonts w:ascii="Bookman Old Style" w:hAnsi="Bookman Old Style" w:cs="TimesNewRomanPSMT"/>
          <w:sz w:val="24"/>
          <w:szCs w:val="24"/>
        </w:rPr>
        <w:t>από τη</w:t>
      </w:r>
      <w:r w:rsidR="003770B9">
        <w:rPr>
          <w:rFonts w:ascii="Bookman Old Style" w:hAnsi="Bookman Old Style" w:cs="TimesNewRomanPSMT"/>
          <w:sz w:val="24"/>
          <w:szCs w:val="24"/>
        </w:rPr>
        <w:t>ν</w:t>
      </w:r>
      <w:r w:rsidRPr="00FE5CA3">
        <w:rPr>
          <w:rFonts w:ascii="Bookman Old Style" w:hAnsi="Bookman Old Style" w:cs="TimesNewRomanPSMT"/>
          <w:sz w:val="24"/>
          <w:szCs w:val="24"/>
        </w:rPr>
        <w:t xml:space="preserve"> λειτουργία αυτή για τη</w:t>
      </w:r>
      <w:r w:rsidR="003770B9">
        <w:rPr>
          <w:rFonts w:ascii="Bookman Old Style" w:hAnsi="Bookman Old Style" w:cs="TimesNewRomanPSMT"/>
          <w:sz w:val="24"/>
          <w:szCs w:val="24"/>
        </w:rPr>
        <w:t>ν</w:t>
      </w:r>
      <w:r w:rsidRPr="00FE5CA3">
        <w:rPr>
          <w:rFonts w:ascii="Bookman Old Style" w:hAnsi="Bookman Old Style" w:cs="TimesNewRomanPSMT"/>
          <w:sz w:val="24"/>
          <w:szCs w:val="24"/>
        </w:rPr>
        <w:t xml:space="preserve"> μέθοδο του ελέγχου</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τήρησης της εν λόγω αρχής.</w:t>
      </w:r>
    </w:p>
    <w:p w:rsidR="003770B9" w:rsidRPr="003770B9" w:rsidRDefault="00F2269A" w:rsidP="00303AFA">
      <w:pPr>
        <w:autoSpaceDE w:val="0"/>
        <w:autoSpaceDN w:val="0"/>
        <w:adjustRightInd w:val="0"/>
        <w:spacing w:before="240" w:line="360" w:lineRule="auto"/>
        <w:ind w:left="851" w:hanging="284"/>
        <w:jc w:val="both"/>
        <w:rPr>
          <w:rFonts w:ascii="Bookman Old Style" w:hAnsi="Bookman Old Style" w:cs="TimesNewRomanPSMT"/>
          <w:b/>
          <w:sz w:val="24"/>
          <w:szCs w:val="24"/>
        </w:rPr>
      </w:pPr>
      <w:r w:rsidRPr="00C21DE7">
        <w:rPr>
          <w:rFonts w:ascii="Bookman Old Style" w:hAnsi="Bookman Old Style" w:cs="TimesNewRomanPSMT"/>
          <w:b/>
          <w:sz w:val="24"/>
          <w:szCs w:val="24"/>
        </w:rPr>
        <w:t>3.</w:t>
      </w:r>
      <w:r w:rsidRPr="00FE5CA3">
        <w:rPr>
          <w:rFonts w:ascii="Bookman Old Style" w:hAnsi="Bookman Old Style" w:cs="TimesNewRomanPSMT"/>
          <w:sz w:val="24"/>
          <w:szCs w:val="24"/>
        </w:rPr>
        <w:t xml:space="preserve"> </w:t>
      </w:r>
      <w:r w:rsidR="003770B9">
        <w:rPr>
          <w:rFonts w:ascii="Bookman Old Style" w:hAnsi="Bookman Old Style" w:cs="TimesNewRomanPSMT"/>
          <w:b/>
          <w:sz w:val="24"/>
          <w:szCs w:val="24"/>
        </w:rPr>
        <w:t>Συμπερασματικές κρίσεις.</w:t>
      </w:r>
    </w:p>
    <w:p w:rsidR="00F2269A" w:rsidRPr="00FE5CA3" w:rsidRDefault="00F2269A" w:rsidP="00303AFA">
      <w:pPr>
        <w:autoSpaceDE w:val="0"/>
        <w:autoSpaceDN w:val="0"/>
        <w:adjustRightInd w:val="0"/>
        <w:spacing w:before="240" w:line="360" w:lineRule="auto"/>
        <w:ind w:left="851" w:hanging="131"/>
        <w:jc w:val="both"/>
        <w:rPr>
          <w:rFonts w:ascii="Bookman Old Style" w:hAnsi="Bookman Old Style" w:cs="TimesNewRomanPSMT"/>
          <w:sz w:val="24"/>
          <w:szCs w:val="24"/>
        </w:rPr>
      </w:pPr>
      <w:r w:rsidRPr="00FE5CA3">
        <w:rPr>
          <w:rFonts w:ascii="Bookman Old Style" w:hAnsi="Bookman Old Style" w:cs="TimesNewRomanPSMT"/>
          <w:sz w:val="24"/>
          <w:szCs w:val="24"/>
        </w:rPr>
        <w:t>Η ερμηνεία της αρχής της αναλογικότητας και η</w:t>
      </w:r>
      <w:r w:rsidR="00CD7837">
        <w:rPr>
          <w:rFonts w:ascii="Bookman Old Style" w:hAnsi="Bookman Old Style" w:cs="TimesNewRomanPSMT"/>
          <w:sz w:val="24"/>
          <w:szCs w:val="24"/>
        </w:rPr>
        <w:t>,</w:t>
      </w:r>
      <w:r w:rsidRPr="00FE5CA3">
        <w:rPr>
          <w:rFonts w:ascii="Bookman Old Style" w:hAnsi="Bookman Old Style" w:cs="TimesNewRomanPSMT"/>
          <w:sz w:val="24"/>
          <w:szCs w:val="24"/>
        </w:rPr>
        <w:t xml:space="preserve"> βάσει της ερμηνείας </w:t>
      </w:r>
      <w:r w:rsidR="00CD7837">
        <w:rPr>
          <w:rFonts w:ascii="Bookman Old Style" w:hAnsi="Bookman Old Style" w:cs="TimesNewRomanPSMT"/>
          <w:sz w:val="24"/>
          <w:szCs w:val="24"/>
        </w:rPr>
        <w:t>αυτής,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συγκεκριμενοποίηση τ</w:t>
      </w:r>
      <w:r w:rsidR="003770B9">
        <w:rPr>
          <w:rFonts w:ascii="Bookman Old Style" w:hAnsi="Bookman Old Style" w:cs="TimesNewRomanPSMT"/>
          <w:sz w:val="24"/>
          <w:szCs w:val="24"/>
        </w:rPr>
        <w:t>ων</w:t>
      </w:r>
      <w:r w:rsidRPr="00FE5CA3">
        <w:rPr>
          <w:rFonts w:ascii="Bookman Old Style" w:hAnsi="Bookman Old Style" w:cs="TimesNewRomanPSMT"/>
          <w:sz w:val="24"/>
          <w:szCs w:val="24"/>
        </w:rPr>
        <w:t xml:space="preserve"> αρμοδι</w:t>
      </w:r>
      <w:r w:rsidR="003770B9">
        <w:rPr>
          <w:rFonts w:ascii="Bookman Old Style" w:hAnsi="Bookman Old Style" w:cs="TimesNewRomanPSMT"/>
          <w:sz w:val="24"/>
          <w:szCs w:val="24"/>
        </w:rPr>
        <w:t>οτήτων</w:t>
      </w:r>
      <w:r w:rsidRPr="00FE5CA3">
        <w:rPr>
          <w:rFonts w:ascii="Bookman Old Style" w:hAnsi="Bookman Old Style" w:cs="TimesNewRomanPSMT"/>
          <w:sz w:val="24"/>
          <w:szCs w:val="24"/>
        </w:rPr>
        <w:t xml:space="preserve"> της ΕΚΤ υπερβαίνουν την αρμοδιότητα του ΔΕΕ</w:t>
      </w:r>
      <w:r w:rsidR="003770B9">
        <w:rPr>
          <w:rFonts w:ascii="Bookman Old Style" w:hAnsi="Bookman Old Style" w:cs="TimesNewRomanPSMT"/>
          <w:sz w:val="24"/>
          <w:szCs w:val="24"/>
        </w:rPr>
        <w:t>,</w:t>
      </w:r>
      <w:r w:rsidRPr="00FE5CA3">
        <w:rPr>
          <w:rFonts w:ascii="Bookman Old Style" w:hAnsi="Bookman Old Style" w:cs="TimesNewRomanPSMT"/>
          <w:sz w:val="24"/>
          <w:szCs w:val="24"/>
        </w:rPr>
        <w:t xml:space="preserve"> </w:t>
      </w:r>
      <w:r>
        <w:rPr>
          <w:rFonts w:ascii="Bookman Old Style" w:hAnsi="Bookman Old Style" w:cs="TimesNewRomanPSMT"/>
          <w:sz w:val="24"/>
          <w:szCs w:val="24"/>
        </w:rPr>
        <w:t xml:space="preserve">όπως </w:t>
      </w:r>
      <w:r w:rsidRPr="00FE5CA3">
        <w:rPr>
          <w:rFonts w:ascii="Bookman Old Style" w:hAnsi="Bookman Old Style" w:cs="TimesNewRomanPSMT"/>
          <w:sz w:val="24"/>
          <w:szCs w:val="24"/>
        </w:rPr>
        <w:t xml:space="preserve">αυτή έχει ανατεθεί στο Δικαστήριο </w:t>
      </w:r>
      <w:r w:rsidR="003770B9">
        <w:rPr>
          <w:rFonts w:ascii="Bookman Old Style" w:hAnsi="Bookman Old Style" w:cs="TimesNewRomanPSMT"/>
          <w:sz w:val="24"/>
          <w:szCs w:val="24"/>
        </w:rPr>
        <w:t>κατά τις διατάξεις του</w:t>
      </w:r>
      <w:r w:rsidRPr="00FE5CA3">
        <w:rPr>
          <w:rFonts w:ascii="Bookman Old Style" w:hAnsi="Bookman Old Style" w:cs="TimesNewRomanPSMT"/>
          <w:sz w:val="24"/>
          <w:szCs w:val="24"/>
        </w:rPr>
        <w:t xml:space="preserve"> άρθρ. 19 παρ. 1 εδαφ. 2. Ο αυτοπεριορισμός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του</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δικαστικού του ελέγχου στο ζήτημα </w:t>
      </w:r>
      <w:r w:rsidR="003770B9">
        <w:rPr>
          <w:rFonts w:ascii="Bookman Old Style" w:hAnsi="Bookman Old Style" w:cs="TimesNewRomanPSMT"/>
          <w:sz w:val="24"/>
          <w:szCs w:val="24"/>
        </w:rPr>
        <w:t xml:space="preserve">του </w:t>
      </w:r>
      <w:r w:rsidRPr="00FE5CA3">
        <w:rPr>
          <w:rFonts w:ascii="Bookman Old Style" w:hAnsi="Bookman Old Style" w:cs="TimesNewRomanPSMT"/>
          <w:sz w:val="24"/>
          <w:szCs w:val="24"/>
        </w:rPr>
        <w:t>αν η ΕΚΤ έχει υποπέσει σε «καταφανές σφάλμα εκτίμησης»</w:t>
      </w:r>
      <w:r>
        <w:rPr>
          <w:rFonts w:ascii="Bookman Old Style" w:hAnsi="Bookman Old Style" w:cs="TimesNewRomanPSMT"/>
          <w:sz w:val="24"/>
          <w:szCs w:val="24"/>
        </w:rPr>
        <w:t xml:space="preserve"> </w:t>
      </w:r>
      <w:r w:rsidR="00687EF1">
        <w:rPr>
          <w:rFonts w:ascii="Bookman Old Style" w:hAnsi="Bookman Old Style" w:cs="TimesNewRomanPSMT"/>
          <w:sz w:val="24"/>
          <w:szCs w:val="24"/>
        </w:rPr>
        <w:t xml:space="preserve">ως προς </w:t>
      </w:r>
      <w:r w:rsidRPr="00FE5CA3">
        <w:rPr>
          <w:rFonts w:ascii="Bookman Old Style" w:hAnsi="Bookman Old Style" w:cs="TimesNewRomanPSMT"/>
          <w:sz w:val="24"/>
          <w:szCs w:val="24"/>
        </w:rPr>
        <w:t xml:space="preserve"> το αν ένα μέτρο</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της υπερβαίνει «καταφανώς» τον βαθμό που είναι αναγκαίος ή αν</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τα</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μειονεκτήματά του είναι «καταφανώς» δυσανάλογα σε σχέση με</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τους επιδιωκόμενους σκοπούς</w:t>
      </w:r>
      <w:r w:rsidR="003770B9">
        <w:rPr>
          <w:rFonts w:ascii="Bookman Old Style" w:hAnsi="Bookman Old Style" w:cs="TimesNewRomanPSMT"/>
          <w:sz w:val="24"/>
          <w:szCs w:val="24"/>
        </w:rPr>
        <w:t>,</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δεν είναι συμβατή με την</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αρμοδιότητα της ΕΚΤ, η οποία</w:t>
      </w:r>
      <w:r w:rsidR="003770B9">
        <w:rPr>
          <w:rFonts w:ascii="Bookman Old Style" w:hAnsi="Bookman Old Style" w:cs="TimesNewRomanPSMT"/>
          <w:sz w:val="24"/>
          <w:szCs w:val="24"/>
        </w:rPr>
        <w:t>,</w:t>
      </w:r>
      <w:r w:rsidRPr="00FE5CA3">
        <w:rPr>
          <w:rFonts w:ascii="Bookman Old Style" w:hAnsi="Bookman Old Style" w:cs="TimesNewRomanPSMT"/>
          <w:sz w:val="24"/>
          <w:szCs w:val="24"/>
        </w:rPr>
        <w:t xml:space="preserve"> κατά τις Συνθήκες</w:t>
      </w:r>
      <w:r w:rsidR="003770B9">
        <w:rPr>
          <w:rFonts w:ascii="Bookman Old Style" w:hAnsi="Bookman Old Style" w:cs="TimesNewRomanPSMT"/>
          <w:sz w:val="24"/>
          <w:szCs w:val="24"/>
        </w:rPr>
        <w:t>,</w:t>
      </w:r>
      <w:r w:rsidRPr="00FE5CA3">
        <w:rPr>
          <w:rFonts w:ascii="Bookman Old Style" w:hAnsi="Bookman Old Style" w:cs="TimesNewRomanPSMT"/>
          <w:sz w:val="24"/>
          <w:szCs w:val="24"/>
        </w:rPr>
        <w:t xml:space="preserve"> πρέπει να</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περιορίζεται</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αποκλειστικ</w:t>
      </w:r>
      <w:r w:rsidR="003770B9">
        <w:rPr>
          <w:rFonts w:ascii="Bookman Old Style" w:hAnsi="Bookman Old Style" w:cs="TimesNewRomanPSMT"/>
          <w:sz w:val="24"/>
          <w:szCs w:val="24"/>
        </w:rPr>
        <w:t>ώς</w:t>
      </w:r>
      <w:r w:rsidRPr="00FE5CA3">
        <w:rPr>
          <w:rFonts w:ascii="Bookman Old Style" w:hAnsi="Bookman Old Style" w:cs="TimesNewRomanPSMT"/>
          <w:sz w:val="24"/>
          <w:szCs w:val="24"/>
        </w:rPr>
        <w:t xml:space="preserve"> στην άσκηση νομισματικής πολιτικής.</w:t>
      </w:r>
    </w:p>
    <w:p w:rsidR="00F2269A" w:rsidRDefault="00F2269A" w:rsidP="00303AFA">
      <w:pPr>
        <w:autoSpaceDE w:val="0"/>
        <w:autoSpaceDN w:val="0"/>
        <w:adjustRightInd w:val="0"/>
        <w:spacing w:before="240" w:line="360" w:lineRule="auto"/>
        <w:ind w:left="284" w:hanging="284"/>
        <w:jc w:val="both"/>
        <w:rPr>
          <w:rFonts w:ascii="Bookman Old Style" w:hAnsi="Bookman Old Style" w:cs="TimesNewRomanPSMT"/>
          <w:b/>
          <w:sz w:val="24"/>
          <w:szCs w:val="24"/>
        </w:rPr>
      </w:pPr>
      <w:r>
        <w:rPr>
          <w:rFonts w:ascii="Bookman Old Style" w:hAnsi="Bookman Old Style" w:cs="TimesNewRomanPSMT"/>
          <w:b/>
          <w:sz w:val="24"/>
          <w:szCs w:val="24"/>
        </w:rPr>
        <w:t xml:space="preserve">Γ. Τα </w:t>
      </w:r>
      <w:r w:rsidR="000052B1">
        <w:rPr>
          <w:rFonts w:ascii="Bookman Old Style" w:hAnsi="Bookman Old Style" w:cs="TimesNewRomanPSMT"/>
          <w:b/>
          <w:sz w:val="24"/>
          <w:szCs w:val="24"/>
        </w:rPr>
        <w:t xml:space="preserve">συμπερασματικά </w:t>
      </w:r>
      <w:r>
        <w:rPr>
          <w:rFonts w:ascii="Bookman Old Style" w:hAnsi="Bookman Old Style" w:cs="TimesNewRomanPSMT"/>
          <w:b/>
          <w:sz w:val="24"/>
          <w:szCs w:val="24"/>
        </w:rPr>
        <w:t xml:space="preserve">δεδομένα της απόφασης του Ομοσπονδιακού Συνταγματικού Δικαστηρίου της Γερμανίας. </w:t>
      </w:r>
    </w:p>
    <w:p w:rsidR="00F2269A" w:rsidRPr="00FE5CA3" w:rsidRDefault="00F2269A" w:rsidP="00303AFA">
      <w:pPr>
        <w:autoSpaceDE w:val="0"/>
        <w:autoSpaceDN w:val="0"/>
        <w:adjustRightInd w:val="0"/>
        <w:spacing w:before="240" w:line="360" w:lineRule="auto"/>
        <w:ind w:left="284"/>
        <w:jc w:val="both"/>
        <w:rPr>
          <w:rFonts w:ascii="Bookman Old Style" w:hAnsi="Bookman Old Style" w:cs="TimesNewRomanPSMT"/>
          <w:sz w:val="24"/>
          <w:szCs w:val="24"/>
        </w:rPr>
      </w:pPr>
      <w:r w:rsidRPr="00FE5CA3">
        <w:rPr>
          <w:rFonts w:ascii="Bookman Old Style" w:hAnsi="Bookman Old Style" w:cs="TimesNewRomanPSMT"/>
          <w:sz w:val="24"/>
          <w:szCs w:val="24"/>
        </w:rPr>
        <w:lastRenderedPageBreak/>
        <w:t>Εφόσον</w:t>
      </w:r>
      <w:r w:rsidR="003770B9">
        <w:rPr>
          <w:rFonts w:ascii="Bookman Old Style" w:hAnsi="Bookman Old Style" w:cs="TimesNewRomanPSMT"/>
          <w:sz w:val="24"/>
          <w:szCs w:val="24"/>
        </w:rPr>
        <w:t>,</w:t>
      </w:r>
      <w:r w:rsidRPr="00FE5CA3">
        <w:rPr>
          <w:rFonts w:ascii="Bookman Old Style" w:hAnsi="Bookman Old Style" w:cs="TimesNewRomanPSMT"/>
          <w:sz w:val="24"/>
          <w:szCs w:val="24"/>
        </w:rPr>
        <w:t xml:space="preserve"> επομένως</w:t>
      </w:r>
      <w:r w:rsidR="003770B9">
        <w:rPr>
          <w:rFonts w:ascii="Bookman Old Style" w:hAnsi="Bookman Old Style" w:cs="TimesNewRomanPSMT"/>
          <w:sz w:val="24"/>
          <w:szCs w:val="24"/>
        </w:rPr>
        <w:t>,</w:t>
      </w:r>
      <w:r w:rsidRPr="00FE5CA3">
        <w:rPr>
          <w:rFonts w:ascii="Bookman Old Style" w:hAnsi="Bookman Old Style" w:cs="TimesNewRomanPSMT"/>
          <w:sz w:val="24"/>
          <w:szCs w:val="24"/>
        </w:rPr>
        <w:t xml:space="preserve"> το </w:t>
      </w:r>
      <w:r>
        <w:rPr>
          <w:rFonts w:ascii="Bookman Old Style" w:hAnsi="Bookman Old Style" w:cs="TimesNewRomanPSMT"/>
          <w:sz w:val="24"/>
          <w:szCs w:val="24"/>
        </w:rPr>
        <w:t>Ομοσπονδιακό Συνταγματικό Δικαστήριο της Γερμανίας</w:t>
      </w:r>
      <w:r w:rsidRPr="00FE5CA3">
        <w:rPr>
          <w:rFonts w:ascii="Bookman Old Style" w:hAnsi="Bookman Old Style" w:cs="TimesNewRomanPSMT"/>
          <w:sz w:val="24"/>
          <w:szCs w:val="24"/>
        </w:rPr>
        <w:t xml:space="preserve"> δεν δεσμεύεται από την απόφαση του</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ΔΕΕ, είναι </w:t>
      </w:r>
      <w:r w:rsidR="003770B9">
        <w:rPr>
          <w:rFonts w:ascii="Bookman Old Style" w:hAnsi="Bookman Old Style" w:cs="TimesNewRomanPSMT"/>
          <w:sz w:val="24"/>
          <w:szCs w:val="24"/>
        </w:rPr>
        <w:t>υποχρεωμένο</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να κρίνει το ίδιο αν το Ευρωσύστημα έδρασε</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εντός των αρμοδιοτήτων που του αναγνωρίζει το</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πρωτογενές</w:t>
      </w:r>
      <w:r w:rsidR="003770B9">
        <w:rPr>
          <w:rFonts w:ascii="Bookman Old Style" w:hAnsi="Bookman Old Style" w:cs="TimesNewRomanPSMT"/>
          <w:sz w:val="24"/>
          <w:szCs w:val="24"/>
        </w:rPr>
        <w:t xml:space="preserve"> Ευρωπαϊκό Δ</w:t>
      </w:r>
      <w:r w:rsidRPr="00FE5CA3">
        <w:rPr>
          <w:rFonts w:ascii="Bookman Old Style" w:hAnsi="Bookman Old Style" w:cs="TimesNewRomanPSMT"/>
          <w:sz w:val="24"/>
          <w:szCs w:val="24"/>
        </w:rPr>
        <w:t>ίκαιο</w:t>
      </w:r>
      <w:r w:rsidR="003770B9">
        <w:rPr>
          <w:rFonts w:ascii="Bookman Old Style" w:hAnsi="Bookman Old Style" w:cs="TimesNewRomanPSMT"/>
          <w:sz w:val="24"/>
          <w:szCs w:val="24"/>
        </w:rPr>
        <w:t>,</w:t>
      </w:r>
      <w:r w:rsidRPr="00FE5CA3">
        <w:rPr>
          <w:rFonts w:ascii="Bookman Old Style" w:hAnsi="Bookman Old Style" w:cs="TimesNewRomanPSMT"/>
          <w:sz w:val="24"/>
          <w:szCs w:val="24"/>
        </w:rPr>
        <w:t xml:space="preserve"> όταν έλαβε τις αποφάσεις για την έναρξη και την </w:t>
      </w:r>
      <w:r w:rsidR="003770B9">
        <w:rPr>
          <w:rFonts w:ascii="Bookman Old Style" w:hAnsi="Bookman Old Style" w:cs="TimesNewRomanPSMT"/>
          <w:sz w:val="24"/>
          <w:szCs w:val="24"/>
        </w:rPr>
        <w:t>εκτέλεση</w:t>
      </w:r>
      <w:r w:rsidRPr="00FE5CA3">
        <w:rPr>
          <w:rFonts w:ascii="Bookman Old Style" w:hAnsi="Bookman Old Style" w:cs="TimesNewRomanPSMT"/>
          <w:sz w:val="24"/>
          <w:szCs w:val="24"/>
        </w:rPr>
        <w:t xml:space="preserve"> του </w:t>
      </w:r>
      <w:r w:rsidR="003770B9">
        <w:rPr>
          <w:rFonts w:ascii="Bookman Old Style" w:hAnsi="Bookman Old Style" w:cs="TimesNewRomanPSMT"/>
          <w:sz w:val="24"/>
          <w:szCs w:val="24"/>
        </w:rPr>
        <w:t>«</w:t>
      </w:r>
      <w:r w:rsidRPr="00FE5CA3">
        <w:rPr>
          <w:rFonts w:ascii="Bookman Old Style" w:hAnsi="Bookman Old Style" w:cs="TimesNewRomanPSMT"/>
          <w:sz w:val="24"/>
          <w:szCs w:val="24"/>
        </w:rPr>
        <w:t>PSPP</w:t>
      </w:r>
      <w:r w:rsidR="003770B9">
        <w:rPr>
          <w:rFonts w:ascii="Bookman Old Style" w:hAnsi="Bookman Old Style" w:cs="TimesNewRomanPSMT"/>
          <w:sz w:val="24"/>
          <w:szCs w:val="24"/>
        </w:rPr>
        <w:t>»</w:t>
      </w:r>
      <w:r w:rsidRPr="00FE5CA3">
        <w:rPr>
          <w:rFonts w:ascii="Bookman Old Style" w:hAnsi="Bookman Old Style" w:cs="TimesNewRomanPSMT"/>
          <w:sz w:val="24"/>
          <w:szCs w:val="24"/>
        </w:rPr>
        <w:t>.</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Επειδή</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δεν υφίστανται επαρκείς ενδείξεις σχετικά με την τήρηση της αρχής της αναλογικότητας,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συνάγεται ότι τα όρια της </w:t>
      </w:r>
      <w:r w:rsidR="003770B9">
        <w:rPr>
          <w:rFonts w:ascii="Bookman Old Style" w:hAnsi="Bookman Old Style" w:cs="TimesNewRomanPSMT"/>
          <w:sz w:val="24"/>
          <w:szCs w:val="24"/>
        </w:rPr>
        <w:t xml:space="preserve">σχετικής </w:t>
      </w:r>
      <w:r w:rsidRPr="00FE5CA3">
        <w:rPr>
          <w:rFonts w:ascii="Bookman Old Style" w:hAnsi="Bookman Old Style" w:cs="TimesNewRomanPSMT"/>
          <w:sz w:val="24"/>
          <w:szCs w:val="24"/>
        </w:rPr>
        <w:t>αρμοδιότητας δεν έχουν τηρηθεί.</w:t>
      </w:r>
    </w:p>
    <w:p w:rsidR="003770B9" w:rsidRDefault="003770B9" w:rsidP="00303AFA">
      <w:pPr>
        <w:pStyle w:val="a3"/>
        <w:numPr>
          <w:ilvl w:val="0"/>
          <w:numId w:val="8"/>
        </w:numPr>
        <w:autoSpaceDE w:val="0"/>
        <w:autoSpaceDN w:val="0"/>
        <w:adjustRightInd w:val="0"/>
        <w:spacing w:before="240" w:line="360" w:lineRule="auto"/>
        <w:ind w:left="567" w:hanging="283"/>
        <w:contextualSpacing w:val="0"/>
        <w:jc w:val="both"/>
        <w:rPr>
          <w:rFonts w:ascii="Bookman Old Style" w:hAnsi="Bookman Old Style" w:cs="TimesNewRomanPSMT"/>
          <w:sz w:val="24"/>
          <w:szCs w:val="24"/>
        </w:rPr>
      </w:pPr>
      <w:r>
        <w:rPr>
          <w:rFonts w:ascii="Bookman Old Style" w:hAnsi="Bookman Old Style" w:cs="TimesNewRomanPSMT"/>
          <w:sz w:val="24"/>
          <w:szCs w:val="24"/>
        </w:rPr>
        <w:t xml:space="preserve"> </w:t>
      </w:r>
      <w:r>
        <w:rPr>
          <w:rFonts w:ascii="Bookman Old Style" w:hAnsi="Bookman Old Style" w:cs="TimesNewRomanPSMT"/>
          <w:b/>
          <w:sz w:val="24"/>
          <w:szCs w:val="24"/>
        </w:rPr>
        <w:t>Η παραβίαση της αρχής της αναλογικότητας.</w:t>
      </w:r>
    </w:p>
    <w:p w:rsidR="00F2269A" w:rsidRPr="00C21DE7" w:rsidRDefault="00F2269A" w:rsidP="00303AFA">
      <w:pPr>
        <w:pStyle w:val="a3"/>
        <w:autoSpaceDE w:val="0"/>
        <w:autoSpaceDN w:val="0"/>
        <w:adjustRightInd w:val="0"/>
        <w:spacing w:before="240" w:line="360" w:lineRule="auto"/>
        <w:ind w:left="567"/>
        <w:contextualSpacing w:val="0"/>
        <w:jc w:val="both"/>
        <w:rPr>
          <w:rFonts w:ascii="Bookman Old Style" w:hAnsi="Bookman Old Style" w:cs="TimesNewRomanPSMT"/>
          <w:sz w:val="24"/>
          <w:szCs w:val="24"/>
        </w:rPr>
      </w:pPr>
      <w:r w:rsidRPr="00C21DE7">
        <w:rPr>
          <w:rFonts w:ascii="Bookman Old Style" w:hAnsi="Bookman Old Style" w:cs="TimesNewRomanPSMT"/>
          <w:sz w:val="24"/>
          <w:szCs w:val="24"/>
        </w:rPr>
        <w:t>Ένα πρόγραμμα αγοράς κρατικών ομολόγων</w:t>
      </w:r>
      <w:r w:rsidR="000052B1">
        <w:rPr>
          <w:rFonts w:ascii="Bookman Old Style" w:hAnsi="Bookman Old Style" w:cs="TimesNewRomanPSMT"/>
          <w:sz w:val="24"/>
          <w:szCs w:val="24"/>
        </w:rPr>
        <w:t>,</w:t>
      </w:r>
      <w:r w:rsidRPr="00C21DE7">
        <w:rPr>
          <w:rFonts w:ascii="Bookman Old Style" w:hAnsi="Bookman Old Style" w:cs="TimesNewRomanPSMT"/>
          <w:sz w:val="24"/>
          <w:szCs w:val="24"/>
        </w:rPr>
        <w:t xml:space="preserve"> όπως το </w:t>
      </w:r>
      <w:r w:rsidR="003770B9">
        <w:rPr>
          <w:rFonts w:ascii="Bookman Old Style" w:hAnsi="Bookman Old Style" w:cs="TimesNewRomanPSMT"/>
          <w:sz w:val="24"/>
          <w:szCs w:val="24"/>
        </w:rPr>
        <w:t>«</w:t>
      </w:r>
      <w:r w:rsidRPr="00C21DE7">
        <w:rPr>
          <w:rFonts w:ascii="Bookman Old Style" w:hAnsi="Bookman Old Style" w:cs="TimesNewRomanPSMT"/>
          <w:sz w:val="24"/>
          <w:szCs w:val="24"/>
        </w:rPr>
        <w:t>PSPP</w:t>
      </w:r>
      <w:r w:rsidR="003770B9">
        <w:rPr>
          <w:rFonts w:ascii="Bookman Old Style" w:hAnsi="Bookman Old Style" w:cs="TimesNewRomanPSMT"/>
          <w:sz w:val="24"/>
          <w:szCs w:val="24"/>
        </w:rPr>
        <w:t>»</w:t>
      </w:r>
      <w:r w:rsidRPr="00C21DE7">
        <w:rPr>
          <w:rFonts w:ascii="Bookman Old Style" w:hAnsi="Bookman Old Style" w:cs="TimesNewRomanPSMT"/>
          <w:sz w:val="24"/>
          <w:szCs w:val="24"/>
        </w:rPr>
        <w:t>, το</w:t>
      </w:r>
      <w:r>
        <w:rPr>
          <w:rFonts w:ascii="Bookman Old Style" w:hAnsi="Bookman Old Style" w:cs="TimesNewRomanPSMT"/>
          <w:sz w:val="24"/>
          <w:szCs w:val="24"/>
        </w:rPr>
        <w:t xml:space="preserve"> </w:t>
      </w:r>
      <w:r w:rsidRPr="00C21DE7">
        <w:rPr>
          <w:rFonts w:ascii="Bookman Old Style" w:hAnsi="Bookman Old Style" w:cs="TimesNewRomanPSMT"/>
          <w:sz w:val="24"/>
          <w:szCs w:val="24"/>
        </w:rPr>
        <w:t>οποίο έχει σοβαρές συνέπειες σε</w:t>
      </w:r>
      <w:r>
        <w:rPr>
          <w:rFonts w:ascii="Bookman Old Style" w:hAnsi="Bookman Old Style" w:cs="TimesNewRomanPSMT"/>
          <w:sz w:val="24"/>
          <w:szCs w:val="24"/>
        </w:rPr>
        <w:t xml:space="preserve"> </w:t>
      </w:r>
      <w:r w:rsidRPr="00C21DE7">
        <w:rPr>
          <w:rFonts w:ascii="Bookman Old Style" w:hAnsi="Bookman Old Style" w:cs="TimesNewRomanPSMT"/>
          <w:sz w:val="24"/>
          <w:szCs w:val="24"/>
        </w:rPr>
        <w:t>επίπεδο οικονομικής πολιτικής,</w:t>
      </w:r>
      <w:r>
        <w:rPr>
          <w:rFonts w:ascii="Bookman Old Style" w:hAnsi="Bookman Old Style" w:cs="TimesNewRomanPSMT"/>
          <w:sz w:val="24"/>
          <w:szCs w:val="24"/>
        </w:rPr>
        <w:t xml:space="preserve"> </w:t>
      </w:r>
      <w:r w:rsidRPr="00C21DE7">
        <w:rPr>
          <w:rFonts w:ascii="Bookman Old Style" w:hAnsi="Bookman Old Style" w:cs="TimesNewRomanPSMT"/>
          <w:sz w:val="24"/>
          <w:szCs w:val="24"/>
        </w:rPr>
        <w:t>προϋποθέτει</w:t>
      </w:r>
      <w:r w:rsidR="003770B9">
        <w:rPr>
          <w:rFonts w:ascii="Bookman Old Style" w:hAnsi="Bookman Old Style" w:cs="TimesNewRomanPSMT"/>
          <w:sz w:val="24"/>
          <w:szCs w:val="24"/>
        </w:rPr>
        <w:t>,</w:t>
      </w:r>
      <w:r w:rsidRPr="00C21DE7">
        <w:rPr>
          <w:rFonts w:ascii="Bookman Old Style" w:hAnsi="Bookman Old Style" w:cs="TimesNewRomanPSMT"/>
          <w:sz w:val="24"/>
          <w:szCs w:val="24"/>
        </w:rPr>
        <w:t xml:space="preserve"> ιδίως</w:t>
      </w:r>
      <w:r w:rsidR="003770B9">
        <w:rPr>
          <w:rFonts w:ascii="Bookman Old Style" w:hAnsi="Bookman Old Style" w:cs="TimesNewRomanPSMT"/>
          <w:sz w:val="24"/>
          <w:szCs w:val="24"/>
        </w:rPr>
        <w:t>,</w:t>
      </w:r>
      <w:r w:rsidRPr="00C21DE7">
        <w:rPr>
          <w:rFonts w:ascii="Bookman Old Style" w:hAnsi="Bookman Old Style" w:cs="TimesNewRomanPSMT"/>
          <w:sz w:val="24"/>
          <w:szCs w:val="24"/>
        </w:rPr>
        <w:t xml:space="preserve"> ότι</w:t>
      </w:r>
      <w:r w:rsidR="00687EF1">
        <w:rPr>
          <w:rFonts w:ascii="Bookman Old Style" w:hAnsi="Bookman Old Style" w:cs="TimesNewRomanPSMT"/>
          <w:sz w:val="24"/>
          <w:szCs w:val="24"/>
        </w:rPr>
        <w:t xml:space="preserve"> τόσον</w:t>
      </w:r>
      <w:r w:rsidRPr="00C21DE7">
        <w:rPr>
          <w:rFonts w:ascii="Bookman Old Style" w:hAnsi="Bookman Old Style" w:cs="TimesNewRomanPSMT"/>
          <w:sz w:val="24"/>
          <w:szCs w:val="24"/>
        </w:rPr>
        <w:t xml:space="preserve"> ο σκοπός νομισματικής πολιτικής που</w:t>
      </w:r>
      <w:r>
        <w:rPr>
          <w:rFonts w:ascii="Bookman Old Style" w:hAnsi="Bookman Old Style" w:cs="TimesNewRomanPSMT"/>
          <w:sz w:val="24"/>
          <w:szCs w:val="24"/>
        </w:rPr>
        <w:t xml:space="preserve"> </w:t>
      </w:r>
      <w:r w:rsidRPr="00C21DE7">
        <w:rPr>
          <w:rFonts w:ascii="Bookman Old Style" w:hAnsi="Bookman Old Style" w:cs="TimesNewRomanPSMT"/>
          <w:sz w:val="24"/>
          <w:szCs w:val="24"/>
        </w:rPr>
        <w:t>επιδιώκεται με το πρόγραμμα όσο και οι συνέπει</w:t>
      </w:r>
      <w:r w:rsidR="00CD7837">
        <w:rPr>
          <w:rFonts w:ascii="Bookman Old Style" w:hAnsi="Bookman Old Style" w:cs="TimesNewRomanPSMT"/>
          <w:sz w:val="24"/>
          <w:szCs w:val="24"/>
        </w:rPr>
        <w:t>έ</w:t>
      </w:r>
      <w:r w:rsidRPr="00C21DE7">
        <w:rPr>
          <w:rFonts w:ascii="Bookman Old Style" w:hAnsi="Bookman Old Style" w:cs="TimesNewRomanPSMT"/>
          <w:sz w:val="24"/>
          <w:szCs w:val="24"/>
        </w:rPr>
        <w:t>ς του στο επίπεδο της οικονομικής πολιτικής</w:t>
      </w:r>
      <w:r>
        <w:rPr>
          <w:rFonts w:ascii="Bookman Old Style" w:hAnsi="Bookman Old Style" w:cs="TimesNewRomanPSMT"/>
          <w:sz w:val="24"/>
          <w:szCs w:val="24"/>
        </w:rPr>
        <w:t xml:space="preserve"> </w:t>
      </w:r>
      <w:r w:rsidR="003770B9">
        <w:rPr>
          <w:rFonts w:ascii="Bookman Old Style" w:hAnsi="Bookman Old Style" w:cs="TimesNewRomanPSMT"/>
          <w:sz w:val="24"/>
          <w:szCs w:val="24"/>
        </w:rPr>
        <w:t>προσδιορίζονται</w:t>
      </w:r>
      <w:r w:rsidRPr="00C21DE7">
        <w:rPr>
          <w:rFonts w:ascii="Bookman Old Style" w:hAnsi="Bookman Old Style" w:cs="TimesNewRomanPSMT"/>
          <w:sz w:val="24"/>
          <w:szCs w:val="24"/>
        </w:rPr>
        <w:t>, αξιολογούνται και</w:t>
      </w:r>
      <w:r>
        <w:rPr>
          <w:rFonts w:ascii="Bookman Old Style" w:hAnsi="Bookman Old Style" w:cs="TimesNewRomanPSMT"/>
          <w:sz w:val="24"/>
          <w:szCs w:val="24"/>
        </w:rPr>
        <w:t xml:space="preserve"> </w:t>
      </w:r>
      <w:r w:rsidRPr="00C21DE7">
        <w:rPr>
          <w:rFonts w:ascii="Bookman Old Style" w:hAnsi="Bookman Old Style" w:cs="TimesNewRomanPSMT"/>
          <w:sz w:val="24"/>
          <w:szCs w:val="24"/>
        </w:rPr>
        <w:t>σταθμίζονται μεταξύ τους. Η άνευ προϋποθέσεων επιδίωξη</w:t>
      </w:r>
      <w:r>
        <w:rPr>
          <w:rFonts w:ascii="Bookman Old Style" w:hAnsi="Bookman Old Style" w:cs="TimesNewRomanPSMT"/>
          <w:sz w:val="24"/>
          <w:szCs w:val="24"/>
        </w:rPr>
        <w:t xml:space="preserve"> </w:t>
      </w:r>
      <w:r w:rsidRPr="00C21DE7">
        <w:rPr>
          <w:rFonts w:ascii="Bookman Old Style" w:hAnsi="Bookman Old Style" w:cs="TimesNewRomanPSMT"/>
          <w:sz w:val="24"/>
          <w:szCs w:val="24"/>
        </w:rPr>
        <w:t xml:space="preserve">του σκοπού νομισματικής πολιτικής που εξυπηρετεί </w:t>
      </w:r>
      <w:r w:rsidR="003770B9">
        <w:rPr>
          <w:rFonts w:ascii="Bookman Old Style" w:hAnsi="Bookman Old Style" w:cs="TimesNewRomanPSMT"/>
          <w:sz w:val="24"/>
          <w:szCs w:val="24"/>
        </w:rPr>
        <w:t>«</w:t>
      </w:r>
      <w:r w:rsidRPr="00C21DE7">
        <w:rPr>
          <w:rFonts w:ascii="Bookman Old Style" w:hAnsi="Bookman Old Style" w:cs="TimesNewRomanPSMT"/>
          <w:sz w:val="24"/>
          <w:szCs w:val="24"/>
        </w:rPr>
        <w:t>PSPP</w:t>
      </w:r>
      <w:r w:rsidR="003770B9">
        <w:rPr>
          <w:rFonts w:ascii="Bookman Old Style" w:hAnsi="Bookman Old Style" w:cs="TimesNewRomanPSMT"/>
          <w:sz w:val="24"/>
          <w:szCs w:val="24"/>
        </w:rPr>
        <w:t>»</w:t>
      </w:r>
      <w:r w:rsidRPr="00C21DE7">
        <w:rPr>
          <w:rFonts w:ascii="Bookman Old Style" w:hAnsi="Bookman Old Style" w:cs="TimesNewRomanPSMT"/>
          <w:sz w:val="24"/>
          <w:szCs w:val="24"/>
        </w:rPr>
        <w:t>, ο οποίος</w:t>
      </w:r>
      <w:r>
        <w:rPr>
          <w:rFonts w:ascii="Bookman Old Style" w:hAnsi="Bookman Old Style" w:cs="TimesNewRomanPSMT"/>
          <w:sz w:val="24"/>
          <w:szCs w:val="24"/>
        </w:rPr>
        <w:t xml:space="preserve"> </w:t>
      </w:r>
      <w:r w:rsidRPr="00C21DE7">
        <w:rPr>
          <w:rFonts w:ascii="Bookman Old Style" w:hAnsi="Bookman Old Style" w:cs="TimesNewRomanPSMT"/>
          <w:sz w:val="24"/>
          <w:szCs w:val="24"/>
        </w:rPr>
        <w:t>συνίσταται στ</w:t>
      </w:r>
      <w:r>
        <w:rPr>
          <w:rFonts w:ascii="Bookman Old Style" w:hAnsi="Bookman Old Style" w:cs="TimesNewRomanPSMT"/>
          <w:sz w:val="24"/>
          <w:szCs w:val="24"/>
        </w:rPr>
        <w:t>η</w:t>
      </w:r>
      <w:r w:rsidRPr="00C21DE7">
        <w:rPr>
          <w:rFonts w:ascii="Bookman Old Style" w:hAnsi="Bookman Old Style" w:cs="TimesNewRomanPSMT"/>
          <w:sz w:val="24"/>
          <w:szCs w:val="24"/>
        </w:rPr>
        <w:t>ν επίτευξη</w:t>
      </w:r>
      <w:r>
        <w:rPr>
          <w:rFonts w:ascii="Bookman Old Style" w:hAnsi="Bookman Old Style" w:cs="TimesNewRomanPSMT"/>
          <w:sz w:val="24"/>
          <w:szCs w:val="24"/>
        </w:rPr>
        <w:t xml:space="preserve"> </w:t>
      </w:r>
      <w:r w:rsidRPr="00C21DE7">
        <w:rPr>
          <w:rFonts w:ascii="Bookman Old Style" w:hAnsi="Bookman Old Style" w:cs="TimesNewRomanPSMT"/>
          <w:sz w:val="24"/>
          <w:szCs w:val="24"/>
        </w:rPr>
        <w:t>πληθωρισμού κοντά στο 2%, χωρίς να</w:t>
      </w:r>
      <w:r>
        <w:rPr>
          <w:rFonts w:ascii="Bookman Old Style" w:hAnsi="Bookman Old Style" w:cs="TimesNewRomanPSMT"/>
          <w:sz w:val="24"/>
          <w:szCs w:val="24"/>
        </w:rPr>
        <w:t xml:space="preserve"> </w:t>
      </w:r>
      <w:r w:rsidRPr="00C21DE7">
        <w:rPr>
          <w:rFonts w:ascii="Bookman Old Style" w:hAnsi="Bookman Old Style" w:cs="TimesNewRomanPSMT"/>
          <w:sz w:val="24"/>
          <w:szCs w:val="24"/>
        </w:rPr>
        <w:t>ληφθούν υπ' όψ</w:t>
      </w:r>
      <w:r w:rsidR="003770B9">
        <w:rPr>
          <w:rFonts w:ascii="Bookman Old Style" w:hAnsi="Bookman Old Style" w:cs="TimesNewRomanPSMT"/>
          <w:sz w:val="24"/>
          <w:szCs w:val="24"/>
        </w:rPr>
        <w:t>η</w:t>
      </w:r>
      <w:r w:rsidRPr="00C21DE7">
        <w:rPr>
          <w:rFonts w:ascii="Bookman Old Style" w:hAnsi="Bookman Old Style" w:cs="TimesNewRomanPSMT"/>
          <w:sz w:val="24"/>
          <w:szCs w:val="24"/>
        </w:rPr>
        <w:t xml:space="preserve"> οι συνέπειες του προγράμματος σ</w:t>
      </w:r>
      <w:r w:rsidR="003770B9" w:rsidRPr="003770B9">
        <w:rPr>
          <w:rFonts w:ascii="Bookman Old Style" w:hAnsi="Bookman Old Style" w:cs="TimesNewRomanPSMT"/>
          <w:sz w:val="24"/>
          <w:szCs w:val="24"/>
        </w:rPr>
        <w:t>’</w:t>
      </w:r>
      <w:r>
        <w:rPr>
          <w:rFonts w:ascii="Bookman Old Style" w:hAnsi="Bookman Old Style" w:cs="TimesNewRomanPSMT"/>
          <w:sz w:val="24"/>
          <w:szCs w:val="24"/>
        </w:rPr>
        <w:t xml:space="preserve"> </w:t>
      </w:r>
      <w:r w:rsidRPr="00C21DE7">
        <w:rPr>
          <w:rFonts w:ascii="Bookman Old Style" w:hAnsi="Bookman Old Style" w:cs="TimesNewRomanPSMT"/>
          <w:sz w:val="24"/>
          <w:szCs w:val="24"/>
        </w:rPr>
        <w:t>επίπεδο</w:t>
      </w:r>
      <w:r>
        <w:rPr>
          <w:rFonts w:ascii="Bookman Old Style" w:hAnsi="Bookman Old Style" w:cs="TimesNewRomanPSMT"/>
          <w:sz w:val="24"/>
          <w:szCs w:val="24"/>
        </w:rPr>
        <w:t xml:space="preserve"> </w:t>
      </w:r>
      <w:r w:rsidRPr="00C21DE7">
        <w:rPr>
          <w:rFonts w:ascii="Bookman Old Style" w:hAnsi="Bookman Old Style" w:cs="TimesNewRomanPSMT"/>
          <w:sz w:val="24"/>
          <w:szCs w:val="24"/>
        </w:rPr>
        <w:t>οικονομικής πολιτικής</w:t>
      </w:r>
      <w:r w:rsidR="003770B9">
        <w:rPr>
          <w:rFonts w:ascii="Bookman Old Style" w:hAnsi="Bookman Old Style" w:cs="TimesNewRomanPSMT"/>
          <w:sz w:val="24"/>
          <w:szCs w:val="24"/>
        </w:rPr>
        <w:t>,</w:t>
      </w:r>
      <w:r w:rsidRPr="00C21DE7">
        <w:rPr>
          <w:rFonts w:ascii="Bookman Old Style" w:hAnsi="Bookman Old Style" w:cs="TimesNewRomanPSMT"/>
          <w:sz w:val="24"/>
          <w:szCs w:val="24"/>
        </w:rPr>
        <w:t xml:space="preserve"> αγνοεί καταφανώς την αρχή </w:t>
      </w:r>
      <w:r>
        <w:rPr>
          <w:rFonts w:ascii="Bookman Old Style" w:hAnsi="Bookman Old Style" w:cs="TimesNewRomanPSMT"/>
          <w:sz w:val="24"/>
          <w:szCs w:val="24"/>
        </w:rPr>
        <w:t xml:space="preserve">της </w:t>
      </w:r>
      <w:r w:rsidRPr="00C21DE7">
        <w:rPr>
          <w:rFonts w:ascii="Bookman Old Style" w:hAnsi="Bookman Old Style" w:cs="TimesNewRomanPSMT"/>
          <w:sz w:val="24"/>
          <w:szCs w:val="24"/>
        </w:rPr>
        <w:t>αναλογικότητας.</w:t>
      </w:r>
    </w:p>
    <w:p w:rsidR="00F2269A" w:rsidRDefault="00F2269A" w:rsidP="00303AFA">
      <w:pPr>
        <w:autoSpaceDE w:val="0"/>
        <w:autoSpaceDN w:val="0"/>
        <w:adjustRightInd w:val="0"/>
        <w:spacing w:before="240" w:line="360" w:lineRule="auto"/>
        <w:ind w:left="851" w:hanging="284"/>
        <w:jc w:val="both"/>
        <w:rPr>
          <w:rFonts w:ascii="Bookman Old Style" w:hAnsi="Bookman Old Style" w:cs="TimesNewRomanPSMT"/>
          <w:sz w:val="24"/>
          <w:szCs w:val="24"/>
        </w:rPr>
      </w:pPr>
      <w:r>
        <w:rPr>
          <w:rFonts w:ascii="Bookman Old Style" w:hAnsi="Bookman Old Style" w:cs="TimesNewRomanPSMT"/>
          <w:b/>
          <w:sz w:val="24"/>
          <w:szCs w:val="24"/>
        </w:rPr>
        <w:t xml:space="preserve">α) </w:t>
      </w:r>
      <w:r w:rsidRPr="00FE5CA3">
        <w:rPr>
          <w:rFonts w:ascii="Bookman Old Style" w:hAnsi="Bookman Old Style" w:cs="TimesNewRomanPSMT"/>
          <w:sz w:val="24"/>
          <w:szCs w:val="24"/>
        </w:rPr>
        <w:t>Από τις αποφάσεις</w:t>
      </w:r>
      <w:r w:rsidR="00687EF1">
        <w:rPr>
          <w:rFonts w:ascii="Bookman Old Style" w:hAnsi="Bookman Old Style" w:cs="TimesNewRomanPSMT"/>
          <w:sz w:val="24"/>
          <w:szCs w:val="24"/>
        </w:rPr>
        <w:t>,</w:t>
      </w:r>
      <w:r w:rsidRPr="00FE5CA3">
        <w:rPr>
          <w:rFonts w:ascii="Bookman Old Style" w:hAnsi="Bookman Old Style" w:cs="TimesNewRomanPSMT"/>
          <w:sz w:val="24"/>
          <w:szCs w:val="24"/>
        </w:rPr>
        <w:t xml:space="preserve"> </w:t>
      </w:r>
      <w:r w:rsidR="00687EF1">
        <w:rPr>
          <w:rFonts w:ascii="Bookman Old Style" w:hAnsi="Bookman Old Style" w:cs="TimesNewRomanPSMT"/>
          <w:sz w:val="24"/>
          <w:szCs w:val="24"/>
        </w:rPr>
        <w:t>οι οποίες</w:t>
      </w:r>
      <w:r w:rsidRPr="00FE5CA3">
        <w:rPr>
          <w:rFonts w:ascii="Bookman Old Style" w:hAnsi="Bookman Old Style" w:cs="TimesNewRomanPSMT"/>
          <w:sz w:val="24"/>
          <w:szCs w:val="24"/>
        </w:rPr>
        <w:t xml:space="preserve"> αποτελούν το αντικείμενο της </w:t>
      </w:r>
      <w:r w:rsidR="003770B9">
        <w:rPr>
          <w:rFonts w:ascii="Bookman Old Style" w:hAnsi="Bookman Old Style" w:cs="TimesNewRomanPSMT"/>
          <w:sz w:val="24"/>
          <w:szCs w:val="24"/>
        </w:rPr>
        <w:t>συγκεκριμένης</w:t>
      </w:r>
      <w:r w:rsidRPr="00FE5CA3">
        <w:rPr>
          <w:rFonts w:ascii="Bookman Old Style" w:hAnsi="Bookman Old Style" w:cs="TimesNewRomanPSMT"/>
          <w:sz w:val="24"/>
          <w:szCs w:val="24"/>
        </w:rPr>
        <w:t xml:space="preserve"> δίκης</w:t>
      </w:r>
      <w:r w:rsidR="00687EF1">
        <w:rPr>
          <w:rFonts w:ascii="Bookman Old Style" w:hAnsi="Bookman Old Style" w:cs="TimesNewRomanPSMT"/>
          <w:sz w:val="24"/>
          <w:szCs w:val="24"/>
        </w:rPr>
        <w:t>,</w:t>
      </w:r>
      <w:r w:rsidRPr="00FE5CA3">
        <w:rPr>
          <w:rFonts w:ascii="Bookman Old Style" w:hAnsi="Bookman Old Style" w:cs="TimesNewRomanPSMT"/>
          <w:sz w:val="24"/>
          <w:szCs w:val="24"/>
        </w:rPr>
        <w:t xml:space="preserve"> δεν προκύπτει ότι</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διενεργήθηκε η απαιτούμενη στάθμιση μεταξύ του σκοπού νομισματικής πολιτικής που επιδιώκει</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το</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πρόγραμμα </w:t>
      </w:r>
      <w:r w:rsidR="003770B9">
        <w:rPr>
          <w:rFonts w:ascii="Bookman Old Style" w:hAnsi="Bookman Old Style" w:cs="TimesNewRomanPSMT"/>
          <w:sz w:val="24"/>
          <w:szCs w:val="24"/>
        </w:rPr>
        <w:t>και των</w:t>
      </w:r>
      <w:r w:rsidRPr="00FE5CA3">
        <w:rPr>
          <w:rFonts w:ascii="Bookman Old Style" w:hAnsi="Bookman Old Style" w:cs="TimesNewRomanPSMT"/>
          <w:sz w:val="24"/>
          <w:szCs w:val="24"/>
        </w:rPr>
        <w:t xml:space="preserve"> συν</w:t>
      </w:r>
      <w:r w:rsidR="003770B9">
        <w:rPr>
          <w:rFonts w:ascii="Bookman Old Style" w:hAnsi="Bookman Old Style" w:cs="TimesNewRomanPSMT"/>
          <w:sz w:val="24"/>
          <w:szCs w:val="24"/>
        </w:rPr>
        <w:t>επειών</w:t>
      </w:r>
      <w:r w:rsidRPr="00FE5CA3">
        <w:rPr>
          <w:rFonts w:ascii="Bookman Old Style" w:hAnsi="Bookman Old Style" w:cs="TimesNewRomanPSMT"/>
          <w:sz w:val="24"/>
          <w:szCs w:val="24"/>
        </w:rPr>
        <w:t xml:space="preserve"> που προκαλούνται από τα</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επιλεγέντα μέσα στο επίπεδο </w:t>
      </w:r>
      <w:r>
        <w:rPr>
          <w:rFonts w:ascii="Bookman Old Style" w:hAnsi="Bookman Old Style" w:cs="TimesNewRomanPSMT"/>
          <w:sz w:val="24"/>
          <w:szCs w:val="24"/>
        </w:rPr>
        <w:t xml:space="preserve">της </w:t>
      </w:r>
      <w:r w:rsidRPr="00FE5CA3">
        <w:rPr>
          <w:rFonts w:ascii="Bookman Old Style" w:hAnsi="Bookman Old Style" w:cs="TimesNewRomanPSMT"/>
          <w:sz w:val="24"/>
          <w:szCs w:val="24"/>
        </w:rPr>
        <w:t xml:space="preserve">οικονομικής πολιτικής. </w:t>
      </w:r>
      <w:r w:rsidR="003770B9">
        <w:rPr>
          <w:rFonts w:ascii="Bookman Old Style" w:hAnsi="Bookman Old Style" w:cs="TimesNewRomanPSMT"/>
          <w:sz w:val="24"/>
          <w:szCs w:val="24"/>
        </w:rPr>
        <w:t>Ως εκ τούτου,</w:t>
      </w:r>
      <w:r w:rsidRPr="00FE5CA3">
        <w:rPr>
          <w:rFonts w:ascii="Bookman Old Style" w:hAnsi="Bookman Old Style" w:cs="TimesNewRomanPSMT"/>
          <w:sz w:val="24"/>
          <w:szCs w:val="24"/>
        </w:rPr>
        <w:t xml:space="preserve"> οι αποφάσεις αυτές αντίκει</w:t>
      </w:r>
      <w:r w:rsidR="00255FEE">
        <w:rPr>
          <w:rFonts w:ascii="Bookman Old Style" w:hAnsi="Bookman Old Style" w:cs="TimesNewRomanPSMT"/>
          <w:sz w:val="24"/>
          <w:szCs w:val="24"/>
        </w:rPr>
        <w:t>ν</w:t>
      </w:r>
      <w:r w:rsidRPr="00FE5CA3">
        <w:rPr>
          <w:rFonts w:ascii="Bookman Old Style" w:hAnsi="Bookman Old Style" w:cs="TimesNewRomanPSMT"/>
          <w:sz w:val="24"/>
          <w:szCs w:val="24"/>
        </w:rPr>
        <w:t xml:space="preserve">ται </w:t>
      </w:r>
      <w:r w:rsidR="003770B9">
        <w:rPr>
          <w:rFonts w:ascii="Bookman Old Style" w:hAnsi="Bookman Old Style" w:cs="TimesNewRomanPSMT"/>
          <w:sz w:val="24"/>
          <w:szCs w:val="24"/>
        </w:rPr>
        <w:t>στις διατάξεις του άρθρου</w:t>
      </w:r>
      <w:r w:rsidRPr="00FE5CA3">
        <w:rPr>
          <w:rFonts w:ascii="Bookman Old Style" w:hAnsi="Bookman Old Style" w:cs="TimesNewRomanPSMT"/>
          <w:sz w:val="24"/>
          <w:szCs w:val="24"/>
        </w:rPr>
        <w:t xml:space="preserve"> 5 παρ. 1</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εδαφ.</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2 και παρ. 4 </w:t>
      </w:r>
      <w:r w:rsidR="003770B9">
        <w:rPr>
          <w:rFonts w:ascii="Bookman Old Style" w:hAnsi="Bookman Old Style" w:cs="TimesNewRomanPSMT"/>
          <w:sz w:val="24"/>
          <w:szCs w:val="24"/>
        </w:rPr>
        <w:t xml:space="preserve">της </w:t>
      </w:r>
      <w:r w:rsidRPr="00FE5CA3">
        <w:rPr>
          <w:rFonts w:ascii="Bookman Old Style" w:hAnsi="Bookman Old Style" w:cs="TimesNewRomanPSMT"/>
          <w:sz w:val="24"/>
          <w:szCs w:val="24"/>
        </w:rPr>
        <w:t>ΣΕΕ και δεν καλύπτονται από την</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αρμοδιότητα της ΕΚΤ για </w:t>
      </w:r>
      <w:r w:rsidR="000052B1">
        <w:rPr>
          <w:rFonts w:ascii="Bookman Old Style" w:hAnsi="Bookman Old Style" w:cs="TimesNewRomanPSMT"/>
          <w:sz w:val="24"/>
          <w:szCs w:val="24"/>
        </w:rPr>
        <w:t xml:space="preserve">την </w:t>
      </w:r>
      <w:r w:rsidRPr="00FE5CA3">
        <w:rPr>
          <w:rFonts w:ascii="Bookman Old Style" w:hAnsi="Bookman Old Style" w:cs="TimesNewRomanPSMT"/>
          <w:sz w:val="24"/>
          <w:szCs w:val="24"/>
        </w:rPr>
        <w:t>άσκηση νομισματικής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πολιτικής.</w:t>
      </w:r>
    </w:p>
    <w:p w:rsidR="00F2269A" w:rsidRDefault="00F2269A" w:rsidP="00303AFA">
      <w:pPr>
        <w:autoSpaceDE w:val="0"/>
        <w:autoSpaceDN w:val="0"/>
        <w:adjustRightInd w:val="0"/>
        <w:spacing w:before="240" w:line="360" w:lineRule="auto"/>
        <w:ind w:left="851" w:hanging="284"/>
        <w:jc w:val="both"/>
        <w:rPr>
          <w:rFonts w:ascii="Bookman Old Style" w:hAnsi="Bookman Old Style" w:cs="TimesNewRomanPSMT"/>
          <w:sz w:val="24"/>
          <w:szCs w:val="24"/>
        </w:rPr>
      </w:pPr>
      <w:r w:rsidRPr="00C21DE7">
        <w:rPr>
          <w:rFonts w:ascii="Bookman Old Style" w:hAnsi="Bookman Old Style" w:cs="TimesNewRomanPSMT"/>
          <w:b/>
          <w:sz w:val="24"/>
          <w:szCs w:val="24"/>
        </w:rPr>
        <w:t xml:space="preserve">β) </w:t>
      </w:r>
      <w:r w:rsidRPr="00FE5CA3">
        <w:rPr>
          <w:rFonts w:ascii="Bookman Old Style" w:hAnsi="Bookman Old Style" w:cs="TimesNewRomanPSMT"/>
          <w:sz w:val="24"/>
          <w:szCs w:val="24"/>
        </w:rPr>
        <w:t>Οι αποφάσεις περιορίζονται στη</w:t>
      </w:r>
      <w:r w:rsidR="00CB65E7">
        <w:rPr>
          <w:rFonts w:ascii="Bookman Old Style" w:hAnsi="Bookman Old Style" w:cs="TimesNewRomanPSMT"/>
          <w:sz w:val="24"/>
          <w:szCs w:val="24"/>
        </w:rPr>
        <w:t>ν</w:t>
      </w:r>
      <w:r w:rsidRPr="00FE5CA3">
        <w:rPr>
          <w:rFonts w:ascii="Bookman Old Style" w:hAnsi="Bookman Old Style" w:cs="TimesNewRomanPSMT"/>
          <w:sz w:val="24"/>
          <w:szCs w:val="24"/>
        </w:rPr>
        <w:t xml:space="preserve"> διαπίστωση ότι ο επιδιωκόμενος στόχος διατήρησης του</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πληθωρισμού κοντά στο 2% δεν</w:t>
      </w:r>
      <w:r>
        <w:rPr>
          <w:rFonts w:ascii="Bookman Old Style" w:hAnsi="Bookman Old Style" w:cs="TimesNewRomanPSMT"/>
          <w:sz w:val="24"/>
          <w:szCs w:val="24"/>
        </w:rPr>
        <w:t xml:space="preserve"> </w:t>
      </w:r>
      <w:r w:rsidRPr="00FE5CA3">
        <w:rPr>
          <w:rFonts w:ascii="Bookman Old Style" w:hAnsi="Bookman Old Style" w:cs="TimesNewRomanPSMT"/>
          <w:sz w:val="24"/>
          <w:szCs w:val="24"/>
        </w:rPr>
        <w:lastRenderedPageBreak/>
        <w:t>επιτυγχάνεται διαφορετικά και ότι δεν είναι διαθέσιμα λιγότερο</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επαχθή μέτρα</w:t>
      </w:r>
      <w:r w:rsidR="00CB65E7">
        <w:rPr>
          <w:rFonts w:ascii="Bookman Old Style" w:hAnsi="Bookman Old Style" w:cs="TimesNewRomanPSMT"/>
          <w:sz w:val="24"/>
          <w:szCs w:val="24"/>
        </w:rPr>
        <w:t>,</w:t>
      </w:r>
      <w:r w:rsidRPr="00FE5CA3">
        <w:rPr>
          <w:rFonts w:ascii="Bookman Old Style" w:hAnsi="Bookman Old Style" w:cs="TimesNewRomanPSMT"/>
          <w:sz w:val="24"/>
          <w:szCs w:val="24"/>
        </w:rPr>
        <w:t xml:space="preserve"> δεν περιέχουν </w:t>
      </w:r>
      <w:r w:rsidR="00CB65E7">
        <w:rPr>
          <w:rFonts w:ascii="Bookman Old Style" w:hAnsi="Bookman Old Style" w:cs="TimesNewRomanPSMT"/>
          <w:sz w:val="24"/>
          <w:szCs w:val="24"/>
        </w:rPr>
        <w:t xml:space="preserve">δε </w:t>
      </w:r>
      <w:r w:rsidRPr="00FE5CA3">
        <w:rPr>
          <w:rFonts w:ascii="Bookman Old Style" w:hAnsi="Bookman Old Style" w:cs="TimesNewRomanPSMT"/>
          <w:sz w:val="24"/>
          <w:szCs w:val="24"/>
        </w:rPr>
        <w:t>καμία πρόγνωση σε σχέση με τις επιπτώσεις σ</w:t>
      </w:r>
      <w:r w:rsidR="00CB65E7">
        <w:rPr>
          <w:rFonts w:ascii="Bookman Old Style" w:hAnsi="Bookman Old Style" w:cs="TimesNewRomanPSMT"/>
          <w:sz w:val="24"/>
          <w:szCs w:val="24"/>
        </w:rPr>
        <w:t>’</w:t>
      </w:r>
      <w:r w:rsidRPr="00FE5CA3">
        <w:rPr>
          <w:rFonts w:ascii="Bookman Old Style" w:hAnsi="Bookman Old Style" w:cs="TimesNewRomanPSMT"/>
          <w:sz w:val="24"/>
          <w:szCs w:val="24"/>
        </w:rPr>
        <w:t xml:space="preserve"> επίπεδο</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οικονομικής πολιτικής ούτε με το αν τελούν σε σχέση αναλογίας με τα</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πλεονεκτήματα</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που έχουν στην νομισματική πολιτική. </w:t>
      </w:r>
      <w:r w:rsidR="00CB65E7">
        <w:rPr>
          <w:rFonts w:ascii="Bookman Old Style" w:hAnsi="Bookman Old Style" w:cs="TimesNewRomanPSMT"/>
          <w:sz w:val="24"/>
          <w:szCs w:val="24"/>
        </w:rPr>
        <w:t>Πέραν τούτων, δεν</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προκύπτει</w:t>
      </w:r>
      <w:r w:rsidR="00CB65E7">
        <w:rPr>
          <w:rFonts w:ascii="Bookman Old Style" w:hAnsi="Bookman Old Style" w:cs="TimesNewRomanPSMT"/>
          <w:sz w:val="24"/>
          <w:szCs w:val="24"/>
        </w:rPr>
        <w:t>,</w:t>
      </w:r>
      <w:r w:rsidRPr="00FE5CA3">
        <w:rPr>
          <w:rFonts w:ascii="Bookman Old Style" w:hAnsi="Bookman Old Style" w:cs="TimesNewRomanPSMT"/>
          <w:sz w:val="24"/>
          <w:szCs w:val="24"/>
        </w:rPr>
        <w:t xml:space="preserve"> από κανένα στοιχείο</w:t>
      </w:r>
      <w:r w:rsidR="00CB65E7">
        <w:rPr>
          <w:rFonts w:ascii="Bookman Old Style" w:hAnsi="Bookman Old Style" w:cs="TimesNewRomanPSMT"/>
          <w:sz w:val="24"/>
          <w:szCs w:val="24"/>
        </w:rPr>
        <w:t>,</w:t>
      </w:r>
      <w:r w:rsidRPr="00FE5CA3">
        <w:rPr>
          <w:rFonts w:ascii="Bookman Old Style" w:hAnsi="Bookman Old Style" w:cs="TimesNewRomanPSMT"/>
          <w:sz w:val="24"/>
          <w:szCs w:val="24"/>
        </w:rPr>
        <w:t xml:space="preserve"> ότι η ΕΚΤ εκτίμησε</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και στάθμισε τις συνέπειες που προκαλούνται από το </w:t>
      </w:r>
      <w:r w:rsidR="00E92073">
        <w:rPr>
          <w:rFonts w:ascii="Bookman Old Style" w:hAnsi="Bookman Old Style" w:cs="TimesNewRomanPSMT"/>
          <w:sz w:val="24"/>
          <w:szCs w:val="24"/>
        </w:rPr>
        <w:t>«</w:t>
      </w:r>
      <w:r w:rsidRPr="00FE5CA3">
        <w:rPr>
          <w:rFonts w:ascii="Bookman Old Style" w:hAnsi="Bookman Old Style" w:cs="TimesNewRomanPSMT"/>
          <w:sz w:val="24"/>
          <w:szCs w:val="24"/>
        </w:rPr>
        <w:t>PSPP</w:t>
      </w:r>
      <w:r w:rsidR="00E92073">
        <w:rPr>
          <w:rFonts w:ascii="Bookman Old Style" w:hAnsi="Bookman Old Style" w:cs="TimesNewRomanPSMT"/>
          <w:sz w:val="24"/>
          <w:szCs w:val="24"/>
        </w:rPr>
        <w:t>»</w:t>
      </w:r>
      <w:r w:rsidRPr="00FE5CA3">
        <w:rPr>
          <w:rFonts w:ascii="Bookman Old Style" w:hAnsi="Bookman Old Style" w:cs="TimesNewRomanPSMT"/>
          <w:sz w:val="24"/>
          <w:szCs w:val="24"/>
        </w:rPr>
        <w:t xml:space="preserve"> και συνδέονται άμεσα με αυτό,</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συνέπειες οι οποίες προκαλούνται από τον όγκο του προγράμματος που υπερβαίνει τα δύο τρις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ευρώ με διάρκεια ήδη μεγαλύτερη των τριών ετών. Οι αρνητικές επιπτώσεις του </w:t>
      </w:r>
      <w:r w:rsidR="00E92073">
        <w:rPr>
          <w:rFonts w:ascii="Bookman Old Style" w:hAnsi="Bookman Old Style" w:cs="TimesNewRomanPSMT"/>
          <w:sz w:val="24"/>
          <w:szCs w:val="24"/>
        </w:rPr>
        <w:t>«</w:t>
      </w:r>
      <w:r w:rsidRPr="00FE5CA3">
        <w:rPr>
          <w:rFonts w:ascii="Bookman Old Style" w:hAnsi="Bookman Old Style" w:cs="TimesNewRomanPSMT"/>
          <w:sz w:val="24"/>
          <w:szCs w:val="24"/>
        </w:rPr>
        <w:t>PSPP</w:t>
      </w:r>
      <w:r w:rsidR="00E92073">
        <w:rPr>
          <w:rFonts w:ascii="Bookman Old Style" w:hAnsi="Bookman Old Style" w:cs="TimesNewRomanPSMT"/>
          <w:sz w:val="24"/>
          <w:szCs w:val="24"/>
        </w:rPr>
        <w:t>»</w:t>
      </w:r>
      <w:r w:rsidRPr="00FE5CA3">
        <w:rPr>
          <w:rFonts w:ascii="Bookman Old Style" w:hAnsi="Bookman Old Style" w:cs="TimesNewRomanPSMT"/>
          <w:sz w:val="24"/>
          <w:szCs w:val="24"/>
        </w:rPr>
        <w:t xml:space="preserve"> αυξάνονται</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με την πάροδο του χρόνου και καθιστούν τις απαιτήσεις μιας τέτοιας στάθμισης ακόμη</w:t>
      </w:r>
      <w:r>
        <w:rPr>
          <w:rFonts w:ascii="Bookman Old Style" w:hAnsi="Bookman Old Style" w:cs="TimesNewRomanPSMT"/>
          <w:sz w:val="24"/>
          <w:szCs w:val="24"/>
        </w:rPr>
        <w:t xml:space="preserve"> </w:t>
      </w:r>
      <w:r w:rsidR="00E92073">
        <w:rPr>
          <w:rFonts w:ascii="Bookman Old Style" w:hAnsi="Bookman Old Style" w:cs="TimesNewRomanPSMT"/>
          <w:sz w:val="24"/>
          <w:szCs w:val="24"/>
        </w:rPr>
        <w:t>μεγαλύτερες</w:t>
      </w:r>
      <w:r w:rsidRPr="00FE5CA3">
        <w:rPr>
          <w:rFonts w:ascii="Bookman Old Style" w:hAnsi="Bookman Old Style" w:cs="TimesNewRomanPSMT"/>
          <w:sz w:val="24"/>
          <w:szCs w:val="24"/>
        </w:rPr>
        <w:t>.</w:t>
      </w:r>
    </w:p>
    <w:p w:rsidR="000052B1" w:rsidRDefault="00F2269A" w:rsidP="00303AFA">
      <w:pPr>
        <w:autoSpaceDE w:val="0"/>
        <w:autoSpaceDN w:val="0"/>
        <w:adjustRightInd w:val="0"/>
        <w:spacing w:before="240" w:line="360" w:lineRule="auto"/>
        <w:ind w:left="851" w:hanging="284"/>
        <w:jc w:val="both"/>
        <w:rPr>
          <w:rFonts w:ascii="Bookman Old Style" w:hAnsi="Bookman Old Style" w:cs="TimesNewRomanPSMT"/>
          <w:sz w:val="24"/>
          <w:szCs w:val="24"/>
        </w:rPr>
      </w:pPr>
      <w:r>
        <w:rPr>
          <w:rFonts w:ascii="Bookman Old Style" w:hAnsi="Bookman Old Style" w:cs="TimesNewRomanPSMT"/>
          <w:b/>
          <w:sz w:val="24"/>
          <w:szCs w:val="24"/>
        </w:rPr>
        <w:t xml:space="preserve">γ) </w:t>
      </w:r>
      <w:r w:rsidRPr="00FE5CA3">
        <w:rPr>
          <w:rFonts w:ascii="Bookman Old Style" w:hAnsi="Bookman Old Style" w:cs="TimesNewRomanPSMT"/>
          <w:sz w:val="24"/>
          <w:szCs w:val="24"/>
        </w:rPr>
        <w:t xml:space="preserve">Το </w:t>
      </w:r>
      <w:r w:rsidR="00E92073">
        <w:rPr>
          <w:rFonts w:ascii="Bookman Old Style" w:hAnsi="Bookman Old Style" w:cs="TimesNewRomanPSMT"/>
          <w:sz w:val="24"/>
          <w:szCs w:val="24"/>
        </w:rPr>
        <w:t>«</w:t>
      </w:r>
      <w:r w:rsidRPr="00FE5CA3">
        <w:rPr>
          <w:rFonts w:ascii="Bookman Old Style" w:hAnsi="Bookman Old Style" w:cs="TimesNewRomanPSMT"/>
          <w:sz w:val="24"/>
          <w:szCs w:val="24"/>
        </w:rPr>
        <w:t>PSPP</w:t>
      </w:r>
      <w:r w:rsidR="00E92073">
        <w:rPr>
          <w:rFonts w:ascii="Bookman Old Style" w:hAnsi="Bookman Old Style" w:cs="TimesNewRomanPSMT"/>
          <w:sz w:val="24"/>
          <w:szCs w:val="24"/>
        </w:rPr>
        <w:t>»</w:t>
      </w:r>
      <w:r w:rsidRPr="00FE5CA3">
        <w:rPr>
          <w:rFonts w:ascii="Bookman Old Style" w:hAnsi="Bookman Old Style" w:cs="TimesNewRomanPSMT"/>
          <w:sz w:val="24"/>
          <w:szCs w:val="24"/>
        </w:rPr>
        <w:t xml:space="preserve"> βελτιώνει τις συνθήκες αναχρηματοδότησης των </w:t>
      </w:r>
      <w:r w:rsidR="00E92073">
        <w:rPr>
          <w:rFonts w:ascii="Bookman Old Style" w:hAnsi="Bookman Old Style" w:cs="TimesNewRomanPSMT"/>
          <w:sz w:val="24"/>
          <w:szCs w:val="24"/>
        </w:rPr>
        <w:t>Κ</w:t>
      </w:r>
      <w:r w:rsidRPr="00FE5CA3">
        <w:rPr>
          <w:rFonts w:ascii="Bookman Old Style" w:hAnsi="Bookman Old Style" w:cs="TimesNewRomanPSMT"/>
          <w:sz w:val="24"/>
          <w:szCs w:val="24"/>
        </w:rPr>
        <w:t xml:space="preserve">ρατών </w:t>
      </w:r>
      <w:r w:rsidR="00E92073">
        <w:rPr>
          <w:rFonts w:ascii="Bookman Old Style" w:hAnsi="Bookman Old Style" w:cs="TimesNewRomanPSMT"/>
          <w:sz w:val="24"/>
          <w:szCs w:val="24"/>
        </w:rPr>
        <w:t>Μ</w:t>
      </w:r>
      <w:r w:rsidRPr="00FE5CA3">
        <w:rPr>
          <w:rFonts w:ascii="Bookman Old Style" w:hAnsi="Bookman Old Style" w:cs="TimesNewRomanPSMT"/>
          <w:sz w:val="24"/>
          <w:szCs w:val="24"/>
        </w:rPr>
        <w:t>ελών, διότι αυτά είναι σε θέση</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να έχουν πρόσβαση στον</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δανεισμό με ευνοϊκότερους όρους στις χρηματαγορές. Ως εκ</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τούτου</w:t>
      </w:r>
      <w:r w:rsidR="00E92073">
        <w:rPr>
          <w:rFonts w:ascii="Bookman Old Style" w:hAnsi="Bookman Old Style" w:cs="TimesNewRomanPSMT"/>
          <w:sz w:val="24"/>
          <w:szCs w:val="24"/>
        </w:rPr>
        <w:t>,</w:t>
      </w:r>
      <w:r w:rsidRPr="00FE5CA3">
        <w:rPr>
          <w:rFonts w:ascii="Bookman Old Style" w:hAnsi="Bookman Old Style" w:cs="TimesNewRomanPSMT"/>
          <w:sz w:val="24"/>
          <w:szCs w:val="24"/>
        </w:rPr>
        <w:t xml:space="preserve"> το</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πρόγραμμα αυτό έχει σημαντικές επιπτώσεις για τη</w:t>
      </w:r>
      <w:r w:rsidR="00E92073">
        <w:rPr>
          <w:rFonts w:ascii="Bookman Old Style" w:hAnsi="Bookman Old Style" w:cs="TimesNewRomanPSMT"/>
          <w:sz w:val="24"/>
          <w:szCs w:val="24"/>
        </w:rPr>
        <w:t>ν</w:t>
      </w:r>
      <w:r w:rsidRPr="00FE5CA3">
        <w:rPr>
          <w:rFonts w:ascii="Bookman Old Style" w:hAnsi="Bookman Old Style" w:cs="TimesNewRomanPSMT"/>
          <w:sz w:val="24"/>
          <w:szCs w:val="24"/>
        </w:rPr>
        <w:t xml:space="preserve"> διαμόρφωση των συνθηκών άσκησης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δημοσιονομικής πολιτικής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στα </w:t>
      </w:r>
      <w:r w:rsidR="00E92073">
        <w:rPr>
          <w:rFonts w:ascii="Bookman Old Style" w:hAnsi="Bookman Old Style" w:cs="TimesNewRomanPSMT"/>
          <w:sz w:val="24"/>
          <w:szCs w:val="24"/>
        </w:rPr>
        <w:t>Κ</w:t>
      </w:r>
      <w:r w:rsidRPr="00FE5CA3">
        <w:rPr>
          <w:rFonts w:ascii="Bookman Old Style" w:hAnsi="Bookman Old Style" w:cs="TimesNewRomanPSMT"/>
          <w:sz w:val="24"/>
          <w:szCs w:val="24"/>
        </w:rPr>
        <w:t>ράτη</w:t>
      </w:r>
      <w:r w:rsidR="000052B1">
        <w:rPr>
          <w:rFonts w:ascii="Bookman Old Style" w:hAnsi="Bookman Old Style" w:cs="TimesNewRomanPSMT"/>
          <w:sz w:val="24"/>
          <w:szCs w:val="24"/>
        </w:rPr>
        <w:t>-</w:t>
      </w:r>
      <w:r w:rsidRPr="00FE5CA3">
        <w:rPr>
          <w:rFonts w:ascii="Bookman Old Style" w:hAnsi="Bookman Old Style" w:cs="TimesNewRomanPSMT"/>
          <w:sz w:val="24"/>
          <w:szCs w:val="24"/>
        </w:rPr>
        <w:t xml:space="preserve"> </w:t>
      </w:r>
      <w:r w:rsidR="00E92073">
        <w:rPr>
          <w:rFonts w:ascii="Bookman Old Style" w:hAnsi="Bookman Old Style" w:cs="TimesNewRomanPSMT"/>
          <w:sz w:val="24"/>
          <w:szCs w:val="24"/>
        </w:rPr>
        <w:t>Μ</w:t>
      </w:r>
      <w:r w:rsidRPr="00FE5CA3">
        <w:rPr>
          <w:rFonts w:ascii="Bookman Old Style" w:hAnsi="Bookman Old Style" w:cs="TimesNewRomanPSMT"/>
          <w:sz w:val="24"/>
          <w:szCs w:val="24"/>
        </w:rPr>
        <w:t>έλη. Μάλιστα</w:t>
      </w:r>
      <w:r w:rsidR="00E92073">
        <w:rPr>
          <w:rFonts w:ascii="Bookman Old Style" w:hAnsi="Bookman Old Style" w:cs="TimesNewRomanPSMT"/>
          <w:sz w:val="24"/>
          <w:szCs w:val="24"/>
        </w:rPr>
        <w:t>,</w:t>
      </w:r>
      <w:r w:rsidRPr="00FE5CA3">
        <w:rPr>
          <w:rFonts w:ascii="Bookman Old Style" w:hAnsi="Bookman Old Style" w:cs="TimesNewRomanPSMT"/>
          <w:sz w:val="24"/>
          <w:szCs w:val="24"/>
        </w:rPr>
        <w:t xml:space="preserve"> μπορεί να έχει την ίδια επίδραση με την</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παροχή χρηματοοικονομικής βοήθειας στα </w:t>
      </w:r>
      <w:r w:rsidR="00E92073">
        <w:rPr>
          <w:rFonts w:ascii="Bookman Old Style" w:hAnsi="Bookman Old Style" w:cs="TimesNewRomanPSMT"/>
          <w:sz w:val="24"/>
          <w:szCs w:val="24"/>
        </w:rPr>
        <w:t>Κ</w:t>
      </w:r>
      <w:r w:rsidRPr="00FE5CA3">
        <w:rPr>
          <w:rFonts w:ascii="Bookman Old Style" w:hAnsi="Bookman Old Style" w:cs="TimesNewRomanPSMT"/>
          <w:sz w:val="24"/>
          <w:szCs w:val="24"/>
        </w:rPr>
        <w:t>ράτη</w:t>
      </w:r>
      <w:r w:rsidR="00687EF1">
        <w:rPr>
          <w:rFonts w:ascii="Bookman Old Style" w:hAnsi="Bookman Old Style" w:cs="TimesNewRomanPSMT"/>
          <w:sz w:val="24"/>
          <w:szCs w:val="24"/>
        </w:rPr>
        <w:t>,</w:t>
      </w:r>
      <w:r w:rsidRPr="00FE5CA3">
        <w:rPr>
          <w:rFonts w:ascii="Bookman Old Style" w:hAnsi="Bookman Old Style" w:cs="TimesNewRomanPSMT"/>
          <w:sz w:val="24"/>
          <w:szCs w:val="24"/>
        </w:rPr>
        <w:t xml:space="preserve"> κατ' άρθρ</w:t>
      </w:r>
      <w:r w:rsidR="00E92073">
        <w:rPr>
          <w:rFonts w:ascii="Bookman Old Style" w:hAnsi="Bookman Old Style" w:cs="TimesNewRomanPSMT"/>
          <w:sz w:val="24"/>
          <w:szCs w:val="24"/>
        </w:rPr>
        <w:t>ο</w:t>
      </w:r>
      <w:r w:rsidRPr="00FE5CA3">
        <w:rPr>
          <w:rFonts w:ascii="Bookman Old Style" w:hAnsi="Bookman Old Style" w:cs="TimesNewRomanPSMT"/>
          <w:sz w:val="24"/>
          <w:szCs w:val="24"/>
        </w:rPr>
        <w:t xml:space="preserve"> 12 της Συνθήκης </w:t>
      </w:r>
      <w:r w:rsidR="000052B1">
        <w:rPr>
          <w:rFonts w:ascii="Bookman Old Style" w:hAnsi="Bookman Old Style" w:cs="TimesNewRomanPSMT"/>
          <w:sz w:val="24"/>
          <w:szCs w:val="24"/>
        </w:rPr>
        <w:t xml:space="preserve">του </w:t>
      </w:r>
      <w:r w:rsidR="00E92073">
        <w:rPr>
          <w:rFonts w:ascii="Bookman Old Style" w:hAnsi="Bookman Old Style" w:cs="TimesNewRomanPSMT"/>
          <w:sz w:val="24"/>
          <w:szCs w:val="24"/>
        </w:rPr>
        <w:t>ΕΜΣ</w:t>
      </w:r>
      <w:r w:rsidRPr="00FE5CA3">
        <w:rPr>
          <w:rFonts w:ascii="Bookman Old Style" w:hAnsi="Bookman Old Style" w:cs="TimesNewRomanPSMT"/>
          <w:sz w:val="24"/>
          <w:szCs w:val="24"/>
        </w:rPr>
        <w:t xml:space="preserve">. </w:t>
      </w:r>
    </w:p>
    <w:p w:rsidR="000052B1" w:rsidRDefault="000052B1" w:rsidP="00303AFA">
      <w:pPr>
        <w:autoSpaceDE w:val="0"/>
        <w:autoSpaceDN w:val="0"/>
        <w:adjustRightInd w:val="0"/>
        <w:spacing w:before="240" w:line="360" w:lineRule="auto"/>
        <w:ind w:left="1134" w:hanging="283"/>
        <w:jc w:val="both"/>
        <w:rPr>
          <w:rFonts w:ascii="Bookman Old Style" w:hAnsi="Bookman Old Style" w:cs="TimesNewRomanPSMT"/>
          <w:sz w:val="24"/>
          <w:szCs w:val="24"/>
        </w:rPr>
      </w:pPr>
      <w:r>
        <w:rPr>
          <w:rFonts w:ascii="Bookman Old Style" w:hAnsi="Bookman Old Style" w:cs="TimesNewRomanPSMT"/>
          <w:b/>
          <w:sz w:val="24"/>
          <w:szCs w:val="24"/>
        </w:rPr>
        <w:t xml:space="preserve">γ1) </w:t>
      </w:r>
      <w:r w:rsidR="00F2269A" w:rsidRPr="00FE5CA3">
        <w:rPr>
          <w:rFonts w:ascii="Bookman Old Style" w:hAnsi="Bookman Old Style" w:cs="TimesNewRomanPSMT"/>
          <w:sz w:val="24"/>
          <w:szCs w:val="24"/>
        </w:rPr>
        <w:t>Το εύρος και</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η διάρκεια του </w:t>
      </w:r>
      <w:r w:rsidR="00E92073">
        <w:rPr>
          <w:rFonts w:ascii="Bookman Old Style" w:hAnsi="Bookman Old Style" w:cs="TimesNewRomanPSMT"/>
          <w:sz w:val="24"/>
          <w:szCs w:val="24"/>
        </w:rPr>
        <w:t>«</w:t>
      </w:r>
      <w:r w:rsidR="00F2269A" w:rsidRPr="00FE5CA3">
        <w:rPr>
          <w:rFonts w:ascii="Bookman Old Style" w:hAnsi="Bookman Old Style" w:cs="TimesNewRomanPSMT"/>
          <w:sz w:val="24"/>
          <w:szCs w:val="24"/>
        </w:rPr>
        <w:t>PSPP</w:t>
      </w:r>
      <w:r w:rsidR="00E92073">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μπορούν να οδηγήσουν σε μια κατάσταση, στην οποία ακόμη και</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σύμφωνες</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με το πρωτογενές </w:t>
      </w:r>
      <w:r w:rsidR="00E92073">
        <w:rPr>
          <w:rFonts w:ascii="Bookman Old Style" w:hAnsi="Bookman Old Style" w:cs="TimesNewRomanPSMT"/>
          <w:sz w:val="24"/>
          <w:szCs w:val="24"/>
        </w:rPr>
        <w:t>Ευρωπαϊκό Δ</w:t>
      </w:r>
      <w:r w:rsidR="00F2269A" w:rsidRPr="00FE5CA3">
        <w:rPr>
          <w:rFonts w:ascii="Bookman Old Style" w:hAnsi="Bookman Old Style" w:cs="TimesNewRomanPSMT"/>
          <w:sz w:val="24"/>
          <w:szCs w:val="24"/>
        </w:rPr>
        <w:t xml:space="preserve">ίκαιο επιπτώσεις του προγράμματος θα ήταν αντίθετες στην αρχή </w:t>
      </w:r>
      <w:r w:rsidR="00F2269A">
        <w:rPr>
          <w:rFonts w:ascii="Bookman Old Style" w:hAnsi="Bookman Old Style" w:cs="TimesNewRomanPSMT"/>
          <w:sz w:val="24"/>
          <w:szCs w:val="24"/>
        </w:rPr>
        <w:t xml:space="preserve">της </w:t>
      </w:r>
      <w:r w:rsidR="00F2269A" w:rsidRPr="00FE5CA3">
        <w:rPr>
          <w:rFonts w:ascii="Bookman Old Style" w:hAnsi="Bookman Old Style" w:cs="TimesNewRomanPSMT"/>
          <w:sz w:val="24"/>
          <w:szCs w:val="24"/>
        </w:rPr>
        <w:t>αναλογικότητας. Επίσης, το</w:t>
      </w:r>
      <w:r w:rsidR="00F2269A">
        <w:rPr>
          <w:rFonts w:ascii="Bookman Old Style" w:hAnsi="Bookman Old Style" w:cs="TimesNewRomanPSMT"/>
          <w:sz w:val="24"/>
          <w:szCs w:val="24"/>
        </w:rPr>
        <w:t xml:space="preserve"> </w:t>
      </w:r>
      <w:r w:rsidR="00E92073">
        <w:rPr>
          <w:rFonts w:ascii="Bookman Old Style" w:hAnsi="Bookman Old Style" w:cs="TimesNewRomanPSMT"/>
          <w:sz w:val="24"/>
          <w:szCs w:val="24"/>
        </w:rPr>
        <w:t>«</w:t>
      </w:r>
      <w:r w:rsidR="00F2269A" w:rsidRPr="00FE5CA3">
        <w:rPr>
          <w:rFonts w:ascii="Bookman Old Style" w:hAnsi="Bookman Old Style" w:cs="TimesNewRomanPSMT"/>
          <w:sz w:val="24"/>
          <w:szCs w:val="24"/>
        </w:rPr>
        <w:t>PSPP</w:t>
      </w:r>
      <w:r w:rsidR="00E92073">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έχει επιπτώσεις στον τραπεζικό τομέα, καθώς δια </w:t>
      </w:r>
      <w:r w:rsidR="00F2269A">
        <w:rPr>
          <w:rFonts w:ascii="Bookman Old Style" w:hAnsi="Bookman Old Style" w:cs="TimesNewRomanPSMT"/>
          <w:sz w:val="24"/>
          <w:szCs w:val="24"/>
        </w:rPr>
        <w:t xml:space="preserve">της </w:t>
      </w:r>
      <w:r w:rsidR="00F2269A" w:rsidRPr="00FE5CA3">
        <w:rPr>
          <w:rFonts w:ascii="Bookman Old Style" w:hAnsi="Bookman Old Style" w:cs="TimesNewRomanPSMT"/>
          <w:sz w:val="24"/>
          <w:szCs w:val="24"/>
        </w:rPr>
        <w:t>αγοράς</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κρατικών ομολόγων τα ομόλογα αυτά εντάσσονται στον ισολογισμό της </w:t>
      </w:r>
      <w:r w:rsidR="00E92073">
        <w:rPr>
          <w:rFonts w:ascii="Bookman Old Style" w:hAnsi="Bookman Old Style" w:cs="TimesNewRomanPSMT"/>
          <w:sz w:val="24"/>
          <w:szCs w:val="24"/>
        </w:rPr>
        <w:t>Ευρωζώνης</w:t>
      </w:r>
      <w:r w:rsidR="00F2269A" w:rsidRPr="00FE5CA3">
        <w:rPr>
          <w:rFonts w:ascii="Bookman Old Style" w:hAnsi="Bookman Old Style" w:cs="TimesNewRomanPSMT"/>
          <w:sz w:val="24"/>
          <w:szCs w:val="24"/>
        </w:rPr>
        <w:t>, με</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αποτέλεσμα τη</w:t>
      </w:r>
      <w:r w:rsidR="00CD7837">
        <w:rPr>
          <w:rFonts w:ascii="Bookman Old Style" w:hAnsi="Bookman Old Style" w:cs="TimesNewRomanPSMT"/>
          <w:sz w:val="24"/>
          <w:szCs w:val="24"/>
        </w:rPr>
        <w:t>ν</w:t>
      </w:r>
      <w:r w:rsidR="00F2269A" w:rsidRPr="00FE5CA3">
        <w:rPr>
          <w:rFonts w:ascii="Bookman Old Style" w:hAnsi="Bookman Old Style" w:cs="TimesNewRomanPSMT"/>
          <w:sz w:val="24"/>
          <w:szCs w:val="24"/>
        </w:rPr>
        <w:t xml:space="preserve"> βελτίωση </w:t>
      </w:r>
      <w:r w:rsidR="00F2269A">
        <w:rPr>
          <w:rFonts w:ascii="Bookman Old Style" w:hAnsi="Bookman Old Style" w:cs="TimesNewRomanPSMT"/>
          <w:sz w:val="24"/>
          <w:szCs w:val="24"/>
        </w:rPr>
        <w:t xml:space="preserve">της </w:t>
      </w:r>
      <w:r w:rsidR="00F2269A" w:rsidRPr="00FE5CA3">
        <w:rPr>
          <w:rFonts w:ascii="Bookman Old Style" w:hAnsi="Bookman Old Style" w:cs="TimesNewRomanPSMT"/>
          <w:sz w:val="24"/>
          <w:szCs w:val="24"/>
        </w:rPr>
        <w:t>οικονομικής κατάστασης και της πιστοληπτικής ικανότητας των</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τραπεζών. Στις επιπτώσεις του </w:t>
      </w:r>
      <w:r w:rsidR="00E92073">
        <w:rPr>
          <w:rFonts w:ascii="Bookman Old Style" w:hAnsi="Bookman Old Style" w:cs="TimesNewRomanPSMT"/>
          <w:sz w:val="24"/>
          <w:szCs w:val="24"/>
        </w:rPr>
        <w:t>«</w:t>
      </w:r>
      <w:r w:rsidR="00F2269A" w:rsidRPr="00FE5CA3">
        <w:rPr>
          <w:rFonts w:ascii="Bookman Old Style" w:hAnsi="Bookman Old Style" w:cs="TimesNewRomanPSMT"/>
          <w:sz w:val="24"/>
          <w:szCs w:val="24"/>
        </w:rPr>
        <w:t>PSPP</w:t>
      </w:r>
      <w:r w:rsidR="00E92073">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ανήκουν επίσης οικονομικές και κοινωνικές παρενέργειες</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που αφορούν σχεδόν όλους </w:t>
      </w:r>
      <w:r w:rsidR="00F2269A">
        <w:rPr>
          <w:rFonts w:ascii="Bookman Old Style" w:hAnsi="Bookman Old Style" w:cs="TimesNewRomanPSMT"/>
          <w:sz w:val="24"/>
          <w:szCs w:val="24"/>
        </w:rPr>
        <w:t xml:space="preserve">τους </w:t>
      </w:r>
      <w:r w:rsidR="00F2269A" w:rsidRPr="00FE5CA3">
        <w:rPr>
          <w:rFonts w:ascii="Bookman Old Style" w:hAnsi="Bookman Old Style" w:cs="TimesNewRomanPSMT"/>
          <w:sz w:val="24"/>
          <w:szCs w:val="24"/>
        </w:rPr>
        <w:t>πολίτες, καθώς</w:t>
      </w:r>
      <w:r w:rsidR="00E92073">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τουλάχιστον εμμέσως</w:t>
      </w:r>
      <w:r w:rsidR="00E92073">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επηρεάζονται μέτοχοι,</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ενοικιαστές, ιδιοκτήτες ακινήτων, αποταμιευτές και</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lastRenderedPageBreak/>
        <w:t>αγοραστές ασφαλιστικών προϊόντων. Ειδικά</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για τις αποταμιεύσεις</w:t>
      </w:r>
      <w:r w:rsidR="00E92073">
        <w:rPr>
          <w:rFonts w:ascii="Bookman Old Style" w:hAnsi="Bookman Old Style" w:cs="TimesNewRomanPSMT"/>
          <w:sz w:val="24"/>
          <w:szCs w:val="24"/>
        </w:rPr>
        <w:t>,</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προκαλούνται σοβαροί κίνδυνοι απώλειας περιουσίας. </w:t>
      </w:r>
      <w:r w:rsidR="00E92073">
        <w:rPr>
          <w:rFonts w:ascii="Bookman Old Style" w:hAnsi="Bookman Old Style" w:cs="TimesNewRomanPSMT"/>
          <w:sz w:val="24"/>
          <w:szCs w:val="24"/>
        </w:rPr>
        <w:t>Επιπλέον</w:t>
      </w:r>
      <w:r w:rsidR="00F2269A" w:rsidRPr="00FE5CA3">
        <w:rPr>
          <w:rFonts w:ascii="Bookman Old Style" w:hAnsi="Bookman Old Style" w:cs="TimesNewRomanPSMT"/>
          <w:sz w:val="24"/>
          <w:szCs w:val="24"/>
        </w:rPr>
        <w:t>,</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επιχειρήσεις</w:t>
      </w:r>
      <w:r w:rsidR="00E92073">
        <w:rPr>
          <w:rFonts w:ascii="Bookman Old Style" w:hAnsi="Bookman Old Style" w:cs="TimesNewRomanPSMT"/>
          <w:sz w:val="24"/>
          <w:szCs w:val="24"/>
        </w:rPr>
        <w:t>,</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οι οποίες από οικονομική άποψη δεν είναι βιώσιμες</w:t>
      </w:r>
      <w:r w:rsidR="00E92073">
        <w:rPr>
          <w:rFonts w:ascii="Bookman Old Style" w:hAnsi="Bookman Old Style" w:cs="TimesNewRomanPSMT"/>
          <w:sz w:val="24"/>
          <w:szCs w:val="24"/>
        </w:rPr>
        <w:t>,</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παραμένουν στην αγορά λόγω της μείωσης</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των επιτοκίων που</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προκαλείται από το πρόγραμμα </w:t>
      </w:r>
      <w:r w:rsidR="00E92073">
        <w:rPr>
          <w:rFonts w:ascii="Bookman Old Style" w:hAnsi="Bookman Old Style" w:cs="TimesNewRomanPSMT"/>
          <w:sz w:val="24"/>
          <w:szCs w:val="24"/>
        </w:rPr>
        <w:t>«</w:t>
      </w:r>
      <w:r w:rsidR="00F2269A" w:rsidRPr="00FE5CA3">
        <w:rPr>
          <w:rFonts w:ascii="Bookman Old Style" w:hAnsi="Bookman Old Style" w:cs="TimesNewRomanPSMT"/>
          <w:sz w:val="24"/>
          <w:szCs w:val="24"/>
        </w:rPr>
        <w:t>PSPP</w:t>
      </w:r>
      <w:r w:rsidR="00E92073">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w:t>
      </w:r>
    </w:p>
    <w:p w:rsidR="00F2269A" w:rsidRPr="00FE5CA3" w:rsidRDefault="000052B1" w:rsidP="00303AFA">
      <w:pPr>
        <w:autoSpaceDE w:val="0"/>
        <w:autoSpaceDN w:val="0"/>
        <w:adjustRightInd w:val="0"/>
        <w:spacing w:before="240" w:line="360" w:lineRule="auto"/>
        <w:ind w:left="1134" w:hanging="283"/>
        <w:jc w:val="both"/>
        <w:rPr>
          <w:rFonts w:ascii="Bookman Old Style" w:hAnsi="Bookman Old Style" w:cs="TimesNewRomanPSMT"/>
          <w:sz w:val="24"/>
          <w:szCs w:val="24"/>
        </w:rPr>
      </w:pPr>
      <w:r>
        <w:rPr>
          <w:rFonts w:ascii="Bookman Old Style" w:hAnsi="Bookman Old Style" w:cs="TimesNewRomanPSMT"/>
          <w:b/>
          <w:sz w:val="24"/>
          <w:szCs w:val="24"/>
        </w:rPr>
        <w:t xml:space="preserve">γ2) </w:t>
      </w:r>
      <w:r w:rsidR="00F2269A" w:rsidRPr="00FE5CA3">
        <w:rPr>
          <w:rFonts w:ascii="Bookman Old Style" w:hAnsi="Bookman Old Style" w:cs="TimesNewRomanPSMT"/>
          <w:sz w:val="24"/>
          <w:szCs w:val="24"/>
        </w:rPr>
        <w:t>Τέλος, όσο αυξάνεται η</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διάρκεια και ο</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όγκος του προγράμματος αυξάνεται και η</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εξάρτηση του Ευρωσυστήματος από την πολιτική των</w:t>
      </w:r>
      <w:r w:rsidR="00F2269A">
        <w:rPr>
          <w:rFonts w:ascii="Bookman Old Style" w:hAnsi="Bookman Old Style" w:cs="TimesNewRomanPSMT"/>
          <w:sz w:val="24"/>
          <w:szCs w:val="24"/>
        </w:rPr>
        <w:t xml:space="preserve"> </w:t>
      </w:r>
      <w:r w:rsidR="00E92073">
        <w:rPr>
          <w:rFonts w:ascii="Bookman Old Style" w:hAnsi="Bookman Old Style" w:cs="TimesNewRomanPSMT"/>
          <w:sz w:val="24"/>
          <w:szCs w:val="24"/>
        </w:rPr>
        <w:t>Κ</w:t>
      </w:r>
      <w:r w:rsidR="00F2269A" w:rsidRPr="00FE5CA3">
        <w:rPr>
          <w:rFonts w:ascii="Bookman Old Style" w:hAnsi="Bookman Old Style" w:cs="TimesNewRomanPSMT"/>
          <w:sz w:val="24"/>
          <w:szCs w:val="24"/>
        </w:rPr>
        <w:t>ρατών</w:t>
      </w:r>
      <w:r w:rsidR="00E92073">
        <w:rPr>
          <w:rFonts w:ascii="Bookman Old Style" w:hAnsi="Bookman Old Style" w:cs="TimesNewRomanPSMT"/>
          <w:sz w:val="24"/>
          <w:szCs w:val="24"/>
        </w:rPr>
        <w:t>-Μ</w:t>
      </w:r>
      <w:r w:rsidR="00F2269A" w:rsidRPr="00FE5CA3">
        <w:rPr>
          <w:rFonts w:ascii="Bookman Old Style" w:hAnsi="Bookman Old Style" w:cs="TimesNewRomanPSMT"/>
          <w:sz w:val="24"/>
          <w:szCs w:val="24"/>
        </w:rPr>
        <w:t xml:space="preserve">ελών, διότι με το πέρας του χρόνου </w:t>
      </w:r>
      <w:r w:rsidR="00E92073">
        <w:rPr>
          <w:rFonts w:ascii="Bookman Old Style" w:hAnsi="Bookman Old Style" w:cs="TimesNewRomanPSMT"/>
          <w:sz w:val="24"/>
          <w:szCs w:val="24"/>
        </w:rPr>
        <w:t>γίνεται δύσκολο,</w:t>
      </w:r>
      <w:r w:rsidR="00F2269A" w:rsidRPr="00FE5CA3">
        <w:rPr>
          <w:rFonts w:ascii="Bookman Old Style" w:hAnsi="Bookman Old Style" w:cs="TimesNewRomanPSMT"/>
          <w:sz w:val="24"/>
          <w:szCs w:val="24"/>
        </w:rPr>
        <w:t xml:space="preserve"> ολοένα και περισσότερο</w:t>
      </w:r>
      <w:r w:rsidR="00E92073">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να καταστεί</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εφικτός ο τερματισμός του</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προγράμματος χωρίς να τεθεί σε κίνδυνο η σταθερότητα </w:t>
      </w:r>
      <w:r w:rsidR="00F2269A">
        <w:rPr>
          <w:rFonts w:ascii="Bookman Old Style" w:hAnsi="Bookman Old Style" w:cs="TimesNewRomanPSMT"/>
          <w:sz w:val="24"/>
          <w:szCs w:val="24"/>
        </w:rPr>
        <w:t xml:space="preserve">της </w:t>
      </w:r>
      <w:r w:rsidR="00F2269A" w:rsidRPr="00FE5CA3">
        <w:rPr>
          <w:rFonts w:ascii="Bookman Old Style" w:hAnsi="Bookman Old Style" w:cs="TimesNewRomanPSMT"/>
          <w:sz w:val="24"/>
          <w:szCs w:val="24"/>
        </w:rPr>
        <w:t>Ευρωζώνης.</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Όλες τις παραπάνω επιπτώσεις στην οικονομική πολιτική θα έπρεπε η ΕΚΤ να τις αξιολογήσει, να</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τις εξετάσει σε σχέση με τα πλεονεκτήματα των σκοπών άσκησης νομισματικής</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πολιτικής που</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εξυπηρετεί το πρόγραμμα και να τις σταθμίσει σύμφωνα με την αρχή της αναλογικότητας. Μια</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τέτοια στάθμιση δεν φαίνεται να έχει λάβει χώρα ούτε κατά την έναρξη του προγράμματος</w:t>
      </w:r>
      <w:r w:rsidR="00E92073">
        <w:rPr>
          <w:rFonts w:ascii="Bookman Old Style" w:hAnsi="Bookman Old Style" w:cs="TimesNewRomanPSMT"/>
          <w:sz w:val="24"/>
          <w:szCs w:val="24"/>
        </w:rPr>
        <w:t xml:space="preserve">, αλλά </w:t>
      </w:r>
      <w:r w:rsidR="00F2269A" w:rsidRPr="00FE5CA3">
        <w:rPr>
          <w:rFonts w:ascii="Bookman Old Style" w:hAnsi="Bookman Old Style" w:cs="TimesNewRomanPSMT"/>
          <w:sz w:val="24"/>
          <w:szCs w:val="24"/>
        </w:rPr>
        <w:t xml:space="preserve"> ούτε</w:t>
      </w:r>
      <w:r w:rsidR="00F2269A">
        <w:rPr>
          <w:rFonts w:ascii="Bookman Old Style" w:hAnsi="Bookman Old Style" w:cs="TimesNewRomanPSMT"/>
          <w:sz w:val="24"/>
          <w:szCs w:val="24"/>
        </w:rPr>
        <w:t xml:space="preserve"> </w:t>
      </w:r>
      <w:r w:rsidR="00E92073">
        <w:rPr>
          <w:rFonts w:ascii="Bookman Old Style" w:hAnsi="Bookman Old Style" w:cs="TimesNewRomanPSMT"/>
          <w:sz w:val="24"/>
          <w:szCs w:val="24"/>
        </w:rPr>
        <w:t xml:space="preserve">και </w:t>
      </w:r>
      <w:r w:rsidR="00F2269A" w:rsidRPr="00FE5CA3">
        <w:rPr>
          <w:rFonts w:ascii="Bookman Old Style" w:hAnsi="Bookman Old Style" w:cs="TimesNewRomanPSMT"/>
          <w:sz w:val="24"/>
          <w:szCs w:val="24"/>
        </w:rPr>
        <w:t>σε μεταγενέστερο χρονικό σημείο. Χωρίς αποδείξεις ότι έλαβε χώρα αυτή η στάθμιση</w:t>
      </w:r>
      <w:r w:rsidR="00E92073">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είναι</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αδύνατος ο</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αποτελεσματικός δικαστικός έλεγχος της τήρησης των ορίων </w:t>
      </w:r>
      <w:r w:rsidR="00F2269A">
        <w:rPr>
          <w:rFonts w:ascii="Bookman Old Style" w:hAnsi="Bookman Old Style" w:cs="TimesNewRomanPSMT"/>
          <w:sz w:val="24"/>
          <w:szCs w:val="24"/>
        </w:rPr>
        <w:t xml:space="preserve">της </w:t>
      </w:r>
      <w:r w:rsidR="00F2269A" w:rsidRPr="00FE5CA3">
        <w:rPr>
          <w:rFonts w:ascii="Bookman Old Style" w:hAnsi="Bookman Old Style" w:cs="TimesNewRomanPSMT"/>
          <w:sz w:val="24"/>
          <w:szCs w:val="24"/>
        </w:rPr>
        <w:t xml:space="preserve">αρμοδιότητας </w:t>
      </w:r>
      <w:r w:rsidR="00F2269A">
        <w:rPr>
          <w:rFonts w:ascii="Bookman Old Style" w:hAnsi="Bookman Old Style" w:cs="TimesNewRomanPSMT"/>
          <w:sz w:val="24"/>
          <w:szCs w:val="24"/>
        </w:rPr>
        <w:t xml:space="preserve">της </w:t>
      </w:r>
      <w:r w:rsidR="00F2269A" w:rsidRPr="00FE5CA3">
        <w:rPr>
          <w:rFonts w:ascii="Bookman Old Style" w:hAnsi="Bookman Old Style" w:cs="TimesNewRomanPSMT"/>
          <w:sz w:val="24"/>
          <w:szCs w:val="24"/>
        </w:rPr>
        <w:t>ΕΚΤ.</w:t>
      </w:r>
    </w:p>
    <w:p w:rsidR="00E92073" w:rsidRPr="00E92073" w:rsidRDefault="00F2269A" w:rsidP="00303AFA">
      <w:pPr>
        <w:autoSpaceDE w:val="0"/>
        <w:autoSpaceDN w:val="0"/>
        <w:adjustRightInd w:val="0"/>
        <w:spacing w:before="240" w:line="360" w:lineRule="auto"/>
        <w:ind w:left="567" w:hanging="283"/>
        <w:jc w:val="both"/>
        <w:rPr>
          <w:rFonts w:ascii="Bookman Old Style" w:hAnsi="Bookman Old Style" w:cs="TimesNewRomanPSMT"/>
          <w:b/>
          <w:sz w:val="24"/>
          <w:szCs w:val="24"/>
        </w:rPr>
      </w:pPr>
      <w:r>
        <w:rPr>
          <w:rFonts w:ascii="Bookman Old Style" w:hAnsi="Bookman Old Style" w:cs="TimesNewRomanPSMT"/>
          <w:b/>
          <w:sz w:val="24"/>
          <w:szCs w:val="24"/>
        </w:rPr>
        <w:t>2.</w:t>
      </w:r>
      <w:r w:rsidRPr="00FE5CA3">
        <w:rPr>
          <w:rFonts w:ascii="Bookman Old Style" w:hAnsi="Bookman Old Style" w:cs="TimesNewRomanPSMT"/>
          <w:sz w:val="24"/>
          <w:szCs w:val="24"/>
        </w:rPr>
        <w:t xml:space="preserve"> </w:t>
      </w:r>
      <w:r w:rsidR="00687EF1">
        <w:rPr>
          <w:rFonts w:ascii="Bookman Old Style" w:hAnsi="Bookman Old Style" w:cs="TimesNewRomanPSMT"/>
          <w:b/>
          <w:sz w:val="24"/>
          <w:szCs w:val="24"/>
        </w:rPr>
        <w:t>Ο</w:t>
      </w:r>
      <w:r w:rsidR="00E92073">
        <w:rPr>
          <w:rFonts w:ascii="Bookman Old Style" w:hAnsi="Bookman Old Style" w:cs="TimesNewRomanPSMT"/>
          <w:b/>
          <w:sz w:val="24"/>
          <w:szCs w:val="24"/>
        </w:rPr>
        <w:t>ι κρίσεις ως προς την Ομοσπονδιακή Κυβέρνηση από το Ομοσπονδιακό Κοινοβούλιο.</w:t>
      </w:r>
    </w:p>
    <w:p w:rsidR="00F2269A" w:rsidRPr="00FE5CA3" w:rsidRDefault="00F2269A" w:rsidP="00303AFA">
      <w:pPr>
        <w:autoSpaceDE w:val="0"/>
        <w:autoSpaceDN w:val="0"/>
        <w:adjustRightInd w:val="0"/>
        <w:spacing w:before="240" w:line="360" w:lineRule="auto"/>
        <w:ind w:left="567"/>
        <w:jc w:val="both"/>
        <w:rPr>
          <w:rFonts w:ascii="Bookman Old Style" w:hAnsi="Bookman Old Style" w:cs="TimesNewRomanPSMT"/>
          <w:sz w:val="24"/>
          <w:szCs w:val="24"/>
        </w:rPr>
      </w:pPr>
      <w:r w:rsidRPr="00FE5CA3">
        <w:rPr>
          <w:rFonts w:ascii="Bookman Old Style" w:hAnsi="Bookman Old Style" w:cs="TimesNewRomanPSMT"/>
          <w:sz w:val="24"/>
          <w:szCs w:val="24"/>
        </w:rPr>
        <w:t>Από την άλλη πλευρά</w:t>
      </w:r>
      <w:r w:rsidR="00E92073">
        <w:rPr>
          <w:rFonts w:ascii="Bookman Old Style" w:hAnsi="Bookman Old Style" w:cs="TimesNewRomanPSMT"/>
          <w:sz w:val="24"/>
          <w:szCs w:val="24"/>
        </w:rPr>
        <w:t>,</w:t>
      </w:r>
      <w:r w:rsidRPr="00FE5CA3">
        <w:rPr>
          <w:rFonts w:ascii="Bookman Old Style" w:hAnsi="Bookman Old Style" w:cs="TimesNewRomanPSMT"/>
          <w:sz w:val="24"/>
          <w:szCs w:val="24"/>
        </w:rPr>
        <w:t xml:space="preserve"> δεν είναι δυνατό να κριθεί οριστικά αν η </w:t>
      </w:r>
      <w:r w:rsidR="00E92073">
        <w:rPr>
          <w:rFonts w:ascii="Bookman Old Style" w:hAnsi="Bookman Old Style" w:cs="TimesNewRomanPSMT"/>
          <w:sz w:val="24"/>
          <w:szCs w:val="24"/>
        </w:rPr>
        <w:t>Ο</w:t>
      </w:r>
      <w:r w:rsidRPr="00FE5CA3">
        <w:rPr>
          <w:rFonts w:ascii="Bookman Old Style" w:hAnsi="Bookman Old Style" w:cs="TimesNewRomanPSMT"/>
          <w:sz w:val="24"/>
          <w:szCs w:val="24"/>
        </w:rPr>
        <w:t xml:space="preserve">μοσπονδιακή </w:t>
      </w:r>
      <w:r w:rsidR="00E92073">
        <w:rPr>
          <w:rFonts w:ascii="Bookman Old Style" w:hAnsi="Bookman Old Style" w:cs="TimesNewRomanPSMT"/>
          <w:sz w:val="24"/>
          <w:szCs w:val="24"/>
        </w:rPr>
        <w:t>Κ</w:t>
      </w:r>
      <w:r w:rsidRPr="00FE5CA3">
        <w:rPr>
          <w:rFonts w:ascii="Bookman Old Style" w:hAnsi="Bookman Old Style" w:cs="TimesNewRomanPSMT"/>
          <w:sz w:val="24"/>
          <w:szCs w:val="24"/>
        </w:rPr>
        <w:t>υβέρνηση και</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το </w:t>
      </w:r>
      <w:r w:rsidR="00E92073">
        <w:rPr>
          <w:rFonts w:ascii="Bookman Old Style" w:hAnsi="Bookman Old Style" w:cs="TimesNewRomanPSMT"/>
          <w:sz w:val="24"/>
          <w:szCs w:val="24"/>
        </w:rPr>
        <w:t>Ο</w:t>
      </w:r>
      <w:r w:rsidRPr="00FE5CA3">
        <w:rPr>
          <w:rFonts w:ascii="Bookman Old Style" w:hAnsi="Bookman Old Style" w:cs="TimesNewRomanPSMT"/>
          <w:sz w:val="24"/>
          <w:szCs w:val="24"/>
        </w:rPr>
        <w:t xml:space="preserve">μοσπονδιακό </w:t>
      </w:r>
      <w:r w:rsidR="00E92073">
        <w:rPr>
          <w:rFonts w:ascii="Bookman Old Style" w:hAnsi="Bookman Old Style" w:cs="TimesNewRomanPSMT"/>
          <w:sz w:val="24"/>
          <w:szCs w:val="24"/>
        </w:rPr>
        <w:t>Κ</w:t>
      </w:r>
      <w:r w:rsidRPr="00FE5CA3">
        <w:rPr>
          <w:rFonts w:ascii="Bookman Old Style" w:hAnsi="Bookman Old Style" w:cs="TimesNewRomanPSMT"/>
          <w:sz w:val="24"/>
          <w:szCs w:val="24"/>
        </w:rPr>
        <w:t>οινοβούλιο</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παρέβησαν το καθήκον τους δια τ</w:t>
      </w:r>
      <w:r w:rsidR="00E92073">
        <w:rPr>
          <w:rFonts w:ascii="Bookman Old Style" w:hAnsi="Bookman Old Style" w:cs="TimesNewRomanPSMT"/>
          <w:sz w:val="24"/>
          <w:szCs w:val="24"/>
        </w:rPr>
        <w:t>ων</w:t>
      </w:r>
      <w:r w:rsidRPr="00FE5CA3">
        <w:rPr>
          <w:rFonts w:ascii="Bookman Old Style" w:hAnsi="Bookman Old Style" w:cs="TimesNewRomanPSMT"/>
          <w:sz w:val="24"/>
          <w:szCs w:val="24"/>
        </w:rPr>
        <w:t xml:space="preserve"> παραλείψε</w:t>
      </w:r>
      <w:r w:rsidR="00E92073">
        <w:rPr>
          <w:rFonts w:ascii="Bookman Old Style" w:hAnsi="Bookman Old Style" w:cs="TimesNewRomanPSMT"/>
          <w:sz w:val="24"/>
          <w:szCs w:val="24"/>
        </w:rPr>
        <w:t>ών</w:t>
      </w:r>
      <w:r w:rsidRPr="00FE5CA3">
        <w:rPr>
          <w:rFonts w:ascii="Bookman Old Style" w:hAnsi="Bookman Old Style" w:cs="TimesNewRomanPSMT"/>
          <w:sz w:val="24"/>
          <w:szCs w:val="24"/>
        </w:rPr>
        <w:t xml:space="preserve"> τους να μην</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προβούν σε ενέργειες προς την κατεύθυνση του τερματισμού του </w:t>
      </w:r>
      <w:r w:rsidR="00E92073">
        <w:rPr>
          <w:rFonts w:ascii="Bookman Old Style" w:hAnsi="Bookman Old Style" w:cs="TimesNewRomanPSMT"/>
          <w:sz w:val="24"/>
          <w:szCs w:val="24"/>
        </w:rPr>
        <w:t>«</w:t>
      </w:r>
      <w:r w:rsidRPr="00FE5CA3">
        <w:rPr>
          <w:rFonts w:ascii="Bookman Old Style" w:hAnsi="Bookman Old Style" w:cs="TimesNewRomanPSMT"/>
          <w:sz w:val="24"/>
          <w:szCs w:val="24"/>
        </w:rPr>
        <w:t>PSPP</w:t>
      </w:r>
      <w:r w:rsidR="00E92073">
        <w:rPr>
          <w:rFonts w:ascii="Bookman Old Style" w:hAnsi="Bookman Old Style" w:cs="TimesNewRomanPSMT"/>
          <w:sz w:val="24"/>
          <w:szCs w:val="24"/>
        </w:rPr>
        <w:t>»</w:t>
      </w:r>
      <w:r w:rsidRPr="00FE5CA3">
        <w:rPr>
          <w:rFonts w:ascii="Bookman Old Style" w:hAnsi="Bookman Old Style" w:cs="TimesNewRomanPSMT"/>
          <w:sz w:val="24"/>
          <w:szCs w:val="24"/>
        </w:rPr>
        <w:t>. Και τούτο</w:t>
      </w:r>
      <w:r w:rsidR="00E92073">
        <w:rPr>
          <w:rFonts w:ascii="Bookman Old Style" w:hAnsi="Bookman Old Style" w:cs="TimesNewRomanPSMT"/>
          <w:sz w:val="24"/>
          <w:szCs w:val="24"/>
        </w:rPr>
        <w:t>,</w:t>
      </w:r>
      <w:r w:rsidRPr="00FE5CA3">
        <w:rPr>
          <w:rFonts w:ascii="Bookman Old Style" w:hAnsi="Bookman Old Style" w:cs="TimesNewRomanPSMT"/>
          <w:sz w:val="24"/>
          <w:szCs w:val="24"/>
        </w:rPr>
        <w:t xml:space="preserve"> διότι για τον</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σχηματισμό σχετικής κρίσης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απαιτείται να διαπιστωθεί</w:t>
      </w:r>
      <w:r w:rsidR="000052B1">
        <w:rPr>
          <w:rFonts w:ascii="Bookman Old Style" w:hAnsi="Bookman Old Style" w:cs="TimesNewRomanPSMT"/>
          <w:sz w:val="24"/>
          <w:szCs w:val="24"/>
        </w:rPr>
        <w:t>,</w:t>
      </w:r>
      <w:r w:rsidRPr="00FE5CA3">
        <w:rPr>
          <w:rFonts w:ascii="Bookman Old Style" w:hAnsi="Bookman Old Style" w:cs="TimesNewRomanPSMT"/>
          <w:sz w:val="24"/>
          <w:szCs w:val="24"/>
        </w:rPr>
        <w:t xml:space="preserve"> βάσει ενός </w:t>
      </w:r>
      <w:r w:rsidR="00E92073">
        <w:rPr>
          <w:rFonts w:ascii="Bookman Old Style" w:hAnsi="Bookman Old Style" w:cs="TimesNewRomanPSMT"/>
          <w:sz w:val="24"/>
          <w:szCs w:val="24"/>
        </w:rPr>
        <w:t>τεκμηριωμένου</w:t>
      </w:r>
      <w:r w:rsidRPr="00FE5CA3">
        <w:rPr>
          <w:rFonts w:ascii="Bookman Old Style" w:hAnsi="Bookman Old Style" w:cs="TimesNewRomanPSMT"/>
          <w:sz w:val="24"/>
          <w:szCs w:val="24"/>
        </w:rPr>
        <w:t xml:space="preserve"> ελέγχου</w:t>
      </w:r>
      <w:r>
        <w:rPr>
          <w:rFonts w:ascii="Bookman Old Style" w:hAnsi="Bookman Old Style" w:cs="TimesNewRomanPSMT"/>
          <w:sz w:val="24"/>
          <w:szCs w:val="24"/>
        </w:rPr>
        <w:t xml:space="preserve"> </w:t>
      </w:r>
      <w:r w:rsidRPr="00FE5CA3">
        <w:rPr>
          <w:rFonts w:ascii="Bookman Old Style" w:hAnsi="Bookman Old Style" w:cs="TimesNewRomanPSMT"/>
          <w:sz w:val="24"/>
          <w:szCs w:val="24"/>
        </w:rPr>
        <w:lastRenderedPageBreak/>
        <w:t xml:space="preserve">αναλογικότητας, αν το </w:t>
      </w:r>
      <w:r w:rsidR="00E92073">
        <w:rPr>
          <w:rFonts w:ascii="Bookman Old Style" w:hAnsi="Bookman Old Style" w:cs="TimesNewRomanPSMT"/>
          <w:sz w:val="24"/>
          <w:szCs w:val="24"/>
        </w:rPr>
        <w:t>«</w:t>
      </w:r>
      <w:r w:rsidRPr="00FE5CA3">
        <w:rPr>
          <w:rFonts w:ascii="Bookman Old Style" w:hAnsi="Bookman Old Style" w:cs="TimesNewRomanPSMT"/>
          <w:sz w:val="24"/>
          <w:szCs w:val="24"/>
        </w:rPr>
        <w:t>PSPP</w:t>
      </w:r>
      <w:r w:rsidR="00E92073">
        <w:rPr>
          <w:rFonts w:ascii="Bookman Old Style" w:hAnsi="Bookman Old Style" w:cs="TimesNewRomanPSMT"/>
          <w:sz w:val="24"/>
          <w:szCs w:val="24"/>
        </w:rPr>
        <w:t>»</w:t>
      </w:r>
      <w:r w:rsidRPr="00FE5CA3">
        <w:rPr>
          <w:rFonts w:ascii="Bookman Old Style" w:hAnsi="Bookman Old Style" w:cs="TimesNewRomanPSMT"/>
          <w:sz w:val="24"/>
          <w:szCs w:val="24"/>
        </w:rPr>
        <w:t xml:space="preserve"> είναι συμβατό με το άρθρο 127 παρ. 1</w:t>
      </w:r>
      <w:r w:rsidR="002A1BDF">
        <w:rPr>
          <w:rFonts w:ascii="Bookman Old Style" w:hAnsi="Bookman Old Style" w:cs="TimesNewRomanPSMT"/>
          <w:sz w:val="24"/>
          <w:szCs w:val="24"/>
        </w:rPr>
        <w:t xml:space="preserve"> της</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ΣΛΕΕ.</w:t>
      </w:r>
    </w:p>
    <w:p w:rsidR="00F2269A" w:rsidRPr="00FE5CA3" w:rsidRDefault="00F2269A" w:rsidP="00303AFA">
      <w:pPr>
        <w:autoSpaceDE w:val="0"/>
        <w:autoSpaceDN w:val="0"/>
        <w:adjustRightInd w:val="0"/>
        <w:spacing w:before="240" w:line="360" w:lineRule="auto"/>
        <w:ind w:left="567" w:hanging="283"/>
        <w:jc w:val="both"/>
        <w:rPr>
          <w:rFonts w:ascii="Bookman Old Style" w:hAnsi="Bookman Old Style" w:cs="TimesNewRomanPSMT"/>
          <w:sz w:val="24"/>
          <w:szCs w:val="24"/>
        </w:rPr>
      </w:pPr>
      <w:r>
        <w:rPr>
          <w:rFonts w:ascii="Bookman Old Style" w:hAnsi="Bookman Old Style" w:cs="TimesNewRomanPSMT"/>
          <w:b/>
          <w:sz w:val="24"/>
          <w:szCs w:val="24"/>
        </w:rPr>
        <w:t xml:space="preserve">α) </w:t>
      </w:r>
      <w:r w:rsidRPr="00FE5CA3">
        <w:rPr>
          <w:rFonts w:ascii="Bookman Old Style" w:hAnsi="Bookman Old Style" w:cs="TimesNewRomanPSMT"/>
          <w:sz w:val="24"/>
          <w:szCs w:val="24"/>
        </w:rPr>
        <w:t xml:space="preserve"> Στο μέτρο που η απόφαση του ΔΕΕ αρνείται ότι προκλήθηκε</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παράβαση του άρθρου 123 παρ.</w:t>
      </w:r>
      <w:r>
        <w:rPr>
          <w:rFonts w:ascii="Bookman Old Style" w:hAnsi="Bookman Old Style" w:cs="TimesNewRomanPSMT"/>
          <w:sz w:val="24"/>
          <w:szCs w:val="24"/>
        </w:rPr>
        <w:t xml:space="preserve"> </w:t>
      </w:r>
      <w:r w:rsidRPr="00FE5CA3">
        <w:rPr>
          <w:rFonts w:ascii="Bookman Old Style" w:hAnsi="Bookman Old Style" w:cs="TimesNewRomanPSMT"/>
          <w:sz w:val="24"/>
          <w:szCs w:val="24"/>
        </w:rPr>
        <w:t>1</w:t>
      </w:r>
      <w:r w:rsidR="00E92073">
        <w:rPr>
          <w:rFonts w:ascii="Bookman Old Style" w:hAnsi="Bookman Old Style" w:cs="TimesNewRomanPSMT"/>
          <w:sz w:val="24"/>
          <w:szCs w:val="24"/>
        </w:rPr>
        <w:t xml:space="preserve"> της</w:t>
      </w:r>
      <w:r w:rsidRPr="00FE5CA3">
        <w:rPr>
          <w:rFonts w:ascii="Bookman Old Style" w:hAnsi="Bookman Old Style" w:cs="TimesNewRomanPSMT"/>
          <w:sz w:val="24"/>
          <w:szCs w:val="24"/>
        </w:rPr>
        <w:t xml:space="preserve"> ΣΛΕΕ</w:t>
      </w:r>
      <w:r w:rsidR="00E92073">
        <w:rPr>
          <w:rFonts w:ascii="Bookman Old Style" w:hAnsi="Bookman Old Style" w:cs="TimesNewRomanPSMT"/>
          <w:sz w:val="24"/>
          <w:szCs w:val="24"/>
        </w:rPr>
        <w:t>,</w:t>
      </w:r>
      <w:r w:rsidRPr="00FE5CA3">
        <w:rPr>
          <w:rFonts w:ascii="Bookman Old Style" w:hAnsi="Bookman Old Style" w:cs="TimesNewRomanPSMT"/>
          <w:sz w:val="24"/>
          <w:szCs w:val="24"/>
        </w:rPr>
        <w:t xml:space="preserve"> το </w:t>
      </w:r>
      <w:r>
        <w:rPr>
          <w:rFonts w:ascii="Bookman Old Style" w:hAnsi="Bookman Old Style" w:cs="TimesNewRomanPSMT"/>
          <w:sz w:val="24"/>
          <w:szCs w:val="24"/>
        </w:rPr>
        <w:t>Ομοσπονδιακό Συνταγματικό Δικαστήριο της Γερμανίας</w:t>
      </w:r>
      <w:r w:rsidRPr="00FE5CA3">
        <w:rPr>
          <w:rFonts w:ascii="Bookman Old Style" w:hAnsi="Bookman Old Style" w:cs="TimesNewRomanPSMT"/>
          <w:sz w:val="24"/>
          <w:szCs w:val="24"/>
        </w:rPr>
        <w:t xml:space="preserve"> κρίνει ότι</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δεσμεύεται από τη διαπίστωση αυτή του ΔΕΕ. Παρά το ότι το ΔΕΕ</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δεν προέβη σε λεπτομερή εξέταση των επιμέρους κριτηρίων</w:t>
      </w:r>
      <w:r w:rsidR="00E92073">
        <w:rPr>
          <w:rFonts w:ascii="Bookman Old Style" w:hAnsi="Bookman Old Style" w:cs="TimesNewRomanPSMT"/>
          <w:sz w:val="24"/>
          <w:szCs w:val="24"/>
        </w:rPr>
        <w:t>,</w:t>
      </w:r>
      <w:r w:rsidRPr="00FE5CA3">
        <w:rPr>
          <w:rFonts w:ascii="Bookman Old Style" w:hAnsi="Bookman Old Style" w:cs="TimesNewRomanPSMT"/>
          <w:sz w:val="24"/>
          <w:szCs w:val="24"/>
        </w:rPr>
        <w:t xml:space="preserve"> που</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είχαν διαμορφωθεί ήδη στο</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πλαίσιο της υπόθεσης Gauweiler,</w:t>
      </w:r>
      <w:r>
        <w:rPr>
          <w:rFonts w:ascii="Bookman Old Style" w:hAnsi="Bookman Old Style" w:cs="TimesNewRomanPSMT"/>
          <w:sz w:val="24"/>
          <w:szCs w:val="24"/>
        </w:rPr>
        <w:t xml:space="preserve"> </w:t>
      </w:r>
      <w:r w:rsidRPr="00FE5CA3">
        <w:rPr>
          <w:rFonts w:ascii="Bookman Old Style" w:hAnsi="Bookman Old Style" w:cs="TimesNewRomanPSMT"/>
          <w:sz w:val="24"/>
          <w:szCs w:val="24"/>
        </w:rPr>
        <w:t>πρέπει να γίνει σεβαστή η κρίση του ότι δεν μπορεί να</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διαπιστωθεί</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εν προκειμένω «καταφανής παράβαση» του άρθρου 123 παρ. 1</w:t>
      </w:r>
      <w:r>
        <w:rPr>
          <w:rFonts w:ascii="Bookman Old Style" w:hAnsi="Bookman Old Style" w:cs="TimesNewRomanPSMT"/>
          <w:sz w:val="24"/>
          <w:szCs w:val="24"/>
        </w:rPr>
        <w:t xml:space="preserve"> </w:t>
      </w:r>
      <w:r w:rsidR="00E92073">
        <w:rPr>
          <w:rFonts w:ascii="Bookman Old Style" w:hAnsi="Bookman Old Style" w:cs="TimesNewRomanPSMT"/>
          <w:sz w:val="24"/>
          <w:szCs w:val="24"/>
        </w:rPr>
        <w:t xml:space="preserve">της </w:t>
      </w:r>
      <w:r w:rsidRPr="00FE5CA3">
        <w:rPr>
          <w:rFonts w:ascii="Bookman Old Style" w:hAnsi="Bookman Old Style" w:cs="TimesNewRomanPSMT"/>
          <w:sz w:val="24"/>
          <w:szCs w:val="24"/>
        </w:rPr>
        <w:t>ΣΛΕΕ. Ιδίως δεν</w:t>
      </w:r>
      <w:r>
        <w:rPr>
          <w:rFonts w:ascii="Bookman Old Style" w:hAnsi="Bookman Old Style" w:cs="TimesNewRomanPSMT"/>
          <w:sz w:val="24"/>
          <w:szCs w:val="24"/>
        </w:rPr>
        <w:t xml:space="preserve"> </w:t>
      </w:r>
      <w:r w:rsidR="00687EF1">
        <w:rPr>
          <w:rFonts w:ascii="Bookman Old Style" w:hAnsi="Bookman Old Style" w:cs="TimesNewRomanPSMT"/>
          <w:sz w:val="24"/>
          <w:szCs w:val="24"/>
        </w:rPr>
        <w:t>στοιχειοθετείται</w:t>
      </w:r>
      <w:r w:rsidRPr="00FE5CA3">
        <w:rPr>
          <w:rFonts w:ascii="Bookman Old Style" w:hAnsi="Bookman Old Style" w:cs="TimesNewRomanPSMT"/>
          <w:sz w:val="24"/>
          <w:szCs w:val="24"/>
        </w:rPr>
        <w:t xml:space="preserve"> καταφανής παράβαση του άρθρου</w:t>
      </w:r>
      <w:r>
        <w:rPr>
          <w:rFonts w:ascii="Bookman Old Style" w:hAnsi="Bookman Old Style" w:cs="TimesNewRomanPSMT"/>
          <w:sz w:val="24"/>
          <w:szCs w:val="24"/>
        </w:rPr>
        <w:t xml:space="preserve"> </w:t>
      </w:r>
      <w:r w:rsidRPr="00FE5CA3">
        <w:rPr>
          <w:rFonts w:ascii="Bookman Old Style" w:hAnsi="Bookman Old Style" w:cs="TimesNewRomanPSMT"/>
          <w:sz w:val="24"/>
          <w:szCs w:val="24"/>
        </w:rPr>
        <w:t xml:space="preserve">123 παρ. 1 </w:t>
      </w:r>
      <w:r w:rsidR="00E92073">
        <w:rPr>
          <w:rFonts w:ascii="Bookman Old Style" w:hAnsi="Bookman Old Style" w:cs="TimesNewRomanPSMT"/>
          <w:sz w:val="24"/>
          <w:szCs w:val="24"/>
        </w:rPr>
        <w:t xml:space="preserve">της </w:t>
      </w:r>
      <w:r w:rsidRPr="00FE5CA3">
        <w:rPr>
          <w:rFonts w:ascii="Bookman Old Style" w:hAnsi="Bookman Old Style" w:cs="TimesNewRomanPSMT"/>
          <w:sz w:val="24"/>
          <w:szCs w:val="24"/>
        </w:rPr>
        <w:t xml:space="preserve">ΣΛΕΕ δια του </w:t>
      </w:r>
      <w:r w:rsidR="00E92073">
        <w:rPr>
          <w:rFonts w:ascii="Bookman Old Style" w:hAnsi="Bookman Old Style" w:cs="TimesNewRomanPSMT"/>
          <w:sz w:val="24"/>
          <w:szCs w:val="24"/>
        </w:rPr>
        <w:t>«</w:t>
      </w:r>
      <w:r w:rsidRPr="00FE5CA3">
        <w:rPr>
          <w:rFonts w:ascii="Bookman Old Style" w:hAnsi="Bookman Old Style" w:cs="TimesNewRomanPSMT"/>
          <w:sz w:val="24"/>
          <w:szCs w:val="24"/>
        </w:rPr>
        <w:t>PSPP</w:t>
      </w:r>
      <w:r w:rsidR="00E92073">
        <w:rPr>
          <w:rFonts w:ascii="Bookman Old Style" w:hAnsi="Bookman Old Style" w:cs="TimesNewRomanPSMT"/>
          <w:sz w:val="24"/>
          <w:szCs w:val="24"/>
        </w:rPr>
        <w:t>»</w:t>
      </w:r>
      <w:r w:rsidRPr="00FE5CA3">
        <w:rPr>
          <w:rFonts w:ascii="Bookman Old Style" w:hAnsi="Bookman Old Style" w:cs="TimesNewRomanPSMT"/>
          <w:sz w:val="24"/>
          <w:szCs w:val="24"/>
        </w:rPr>
        <w:t xml:space="preserve"> διότι, μεταξύ</w:t>
      </w:r>
      <w:r>
        <w:rPr>
          <w:rFonts w:ascii="Bookman Old Style" w:hAnsi="Bookman Old Style" w:cs="TimesNewRomanPSMT"/>
          <w:sz w:val="24"/>
          <w:szCs w:val="24"/>
        </w:rPr>
        <w:t xml:space="preserve"> </w:t>
      </w:r>
      <w:r w:rsidRPr="00FE5CA3">
        <w:rPr>
          <w:rFonts w:ascii="Bookman Old Style" w:hAnsi="Bookman Old Style" w:cs="TimesNewRomanPSMT"/>
          <w:sz w:val="24"/>
          <w:szCs w:val="24"/>
        </w:rPr>
        <w:t>άλλων:</w:t>
      </w:r>
    </w:p>
    <w:p w:rsidR="00F2269A" w:rsidRPr="00FE5CA3" w:rsidRDefault="009A18B6" w:rsidP="00303AFA">
      <w:pPr>
        <w:autoSpaceDE w:val="0"/>
        <w:autoSpaceDN w:val="0"/>
        <w:adjustRightInd w:val="0"/>
        <w:spacing w:before="240" w:line="360" w:lineRule="auto"/>
        <w:ind w:left="851" w:hanging="284"/>
        <w:jc w:val="both"/>
        <w:rPr>
          <w:rFonts w:ascii="Bookman Old Style" w:hAnsi="Bookman Old Style" w:cs="TimesNewRomanPSMT"/>
          <w:sz w:val="24"/>
          <w:szCs w:val="24"/>
        </w:rPr>
      </w:pPr>
      <w:r w:rsidRPr="009A18B6">
        <w:rPr>
          <w:rFonts w:ascii="Bookman Old Style" w:hAnsi="Bookman Old Style" w:cs="TimesNewRomanPSMT"/>
          <w:b/>
          <w:sz w:val="24"/>
          <w:szCs w:val="24"/>
        </w:rPr>
        <w:t>α1)</w:t>
      </w:r>
      <w:r>
        <w:rPr>
          <w:rFonts w:ascii="Bookman Old Style" w:hAnsi="Bookman Old Style" w:cs="TimesNewRomanPSMT"/>
          <w:sz w:val="24"/>
          <w:szCs w:val="24"/>
        </w:rPr>
        <w:t xml:space="preserve"> Ο</w:t>
      </w:r>
      <w:r w:rsidR="00F2269A" w:rsidRPr="00FE5CA3">
        <w:rPr>
          <w:rFonts w:ascii="Bookman Old Style" w:hAnsi="Bookman Old Style" w:cs="TimesNewRomanPSMT"/>
          <w:sz w:val="24"/>
          <w:szCs w:val="24"/>
        </w:rPr>
        <w:t xml:space="preserve"> όγκος των αγορών δεν είναι εκ των προτέρων απεριόριστος</w:t>
      </w:r>
      <w:r>
        <w:rPr>
          <w:rFonts w:ascii="Bookman Old Style" w:hAnsi="Bookman Old Style" w:cs="TimesNewRomanPSMT"/>
          <w:sz w:val="24"/>
          <w:szCs w:val="24"/>
        </w:rPr>
        <w:t>.</w:t>
      </w:r>
    </w:p>
    <w:p w:rsidR="00F2269A" w:rsidRPr="00FE5CA3" w:rsidRDefault="009A18B6" w:rsidP="00303AFA">
      <w:pPr>
        <w:autoSpaceDE w:val="0"/>
        <w:autoSpaceDN w:val="0"/>
        <w:adjustRightInd w:val="0"/>
        <w:spacing w:before="240" w:line="360" w:lineRule="auto"/>
        <w:ind w:left="851" w:hanging="284"/>
        <w:jc w:val="both"/>
        <w:rPr>
          <w:rFonts w:ascii="Bookman Old Style" w:hAnsi="Bookman Old Style" w:cs="TimesNewRomanPSMT"/>
          <w:sz w:val="24"/>
          <w:szCs w:val="24"/>
        </w:rPr>
      </w:pPr>
      <w:r w:rsidRPr="009A18B6">
        <w:rPr>
          <w:rFonts w:ascii="Bookman Old Style" w:hAnsi="Bookman Old Style" w:cs="TimesNewRomanPSMT"/>
          <w:b/>
          <w:sz w:val="24"/>
          <w:szCs w:val="24"/>
        </w:rPr>
        <w:t>α2)</w:t>
      </w:r>
      <w:r>
        <w:rPr>
          <w:rFonts w:ascii="Bookman Old Style" w:hAnsi="Bookman Old Style" w:cs="TimesNewRomanPSMT"/>
          <w:sz w:val="24"/>
          <w:szCs w:val="24"/>
        </w:rPr>
        <w:t xml:space="preserve"> Τ</w:t>
      </w:r>
      <w:r w:rsidR="00F2269A" w:rsidRPr="00FE5CA3">
        <w:rPr>
          <w:rFonts w:ascii="Bookman Old Style" w:hAnsi="Bookman Old Style" w:cs="TimesNewRomanPSMT"/>
          <w:sz w:val="24"/>
          <w:szCs w:val="24"/>
        </w:rPr>
        <w:t>ηρείται ανώτατο όριο 33% ανά κωδικό χρεογράφου</w:t>
      </w:r>
      <w:r>
        <w:rPr>
          <w:rFonts w:ascii="Bookman Old Style" w:hAnsi="Bookman Old Style" w:cs="TimesNewRomanPSMT"/>
          <w:sz w:val="24"/>
          <w:szCs w:val="24"/>
        </w:rPr>
        <w:t>.</w:t>
      </w:r>
    </w:p>
    <w:p w:rsidR="00F2269A" w:rsidRPr="00FE5CA3" w:rsidRDefault="009A18B6" w:rsidP="00303AFA">
      <w:pPr>
        <w:autoSpaceDE w:val="0"/>
        <w:autoSpaceDN w:val="0"/>
        <w:adjustRightInd w:val="0"/>
        <w:spacing w:before="240" w:line="360" w:lineRule="auto"/>
        <w:ind w:left="851" w:hanging="284"/>
        <w:jc w:val="both"/>
        <w:rPr>
          <w:rFonts w:ascii="Bookman Old Style" w:hAnsi="Bookman Old Style" w:cs="TimesNewRomanPSMT"/>
          <w:sz w:val="24"/>
          <w:szCs w:val="24"/>
        </w:rPr>
      </w:pPr>
      <w:r w:rsidRPr="009A18B6">
        <w:rPr>
          <w:rFonts w:ascii="Bookman Old Style" w:hAnsi="Bookman Old Style" w:cs="TimesNewRomanPSMT"/>
          <w:b/>
          <w:sz w:val="24"/>
          <w:szCs w:val="24"/>
        </w:rPr>
        <w:t>α3)</w:t>
      </w:r>
      <w:r>
        <w:rPr>
          <w:rFonts w:ascii="Bookman Old Style" w:hAnsi="Bookman Old Style" w:cs="TimesNewRomanPSMT"/>
          <w:sz w:val="24"/>
          <w:szCs w:val="24"/>
        </w:rPr>
        <w:t xml:space="preserve"> Α</w:t>
      </w:r>
      <w:r w:rsidR="00F2269A" w:rsidRPr="00FE5CA3">
        <w:rPr>
          <w:rFonts w:ascii="Bookman Old Style" w:hAnsi="Bookman Old Style" w:cs="TimesNewRomanPSMT"/>
          <w:sz w:val="24"/>
          <w:szCs w:val="24"/>
        </w:rPr>
        <w:t>γοράζονται μόνο</w:t>
      </w:r>
      <w:r>
        <w:rPr>
          <w:rFonts w:ascii="Bookman Old Style" w:hAnsi="Bookman Old Style" w:cs="TimesNewRomanPSMT"/>
          <w:sz w:val="24"/>
          <w:szCs w:val="24"/>
        </w:rPr>
        <w:t>ν</w:t>
      </w:r>
      <w:r w:rsidR="00F2269A" w:rsidRPr="00FE5CA3">
        <w:rPr>
          <w:rFonts w:ascii="Bookman Old Style" w:hAnsi="Bookman Old Style" w:cs="TimesNewRomanPSMT"/>
          <w:sz w:val="24"/>
          <w:szCs w:val="24"/>
        </w:rPr>
        <w:t xml:space="preserve"> ομόλογα οργανισμών</w:t>
      </w:r>
      <w:r>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που έχουν πρόσβαση </w:t>
      </w:r>
      <w:r w:rsidR="00F2269A">
        <w:rPr>
          <w:rFonts w:ascii="Bookman Old Style" w:hAnsi="Bookman Old Style" w:cs="TimesNewRomanPSMT"/>
          <w:sz w:val="24"/>
          <w:szCs w:val="24"/>
        </w:rPr>
        <w:t xml:space="preserve">στις </w:t>
      </w:r>
      <w:r w:rsidR="00F2269A" w:rsidRPr="00FE5CA3">
        <w:rPr>
          <w:rFonts w:ascii="Bookman Old Style" w:hAnsi="Bookman Old Style" w:cs="TimesNewRomanPSMT"/>
          <w:sz w:val="24"/>
          <w:szCs w:val="24"/>
        </w:rPr>
        <w:t>αγορές</w:t>
      </w:r>
      <w:r>
        <w:rPr>
          <w:rFonts w:ascii="Bookman Old Style" w:hAnsi="Bookman Old Style" w:cs="TimesNewRomanPSMT"/>
          <w:sz w:val="24"/>
          <w:szCs w:val="24"/>
        </w:rPr>
        <w:t>.</w:t>
      </w:r>
    </w:p>
    <w:p w:rsidR="00F2269A" w:rsidRPr="00FE5CA3" w:rsidRDefault="009A18B6" w:rsidP="00303AFA">
      <w:pPr>
        <w:autoSpaceDE w:val="0"/>
        <w:autoSpaceDN w:val="0"/>
        <w:adjustRightInd w:val="0"/>
        <w:spacing w:before="240" w:line="360" w:lineRule="auto"/>
        <w:ind w:left="851" w:hanging="284"/>
        <w:jc w:val="both"/>
        <w:rPr>
          <w:rFonts w:ascii="Bookman Old Style" w:hAnsi="Bookman Old Style" w:cs="TimesNewRomanPSMT"/>
          <w:sz w:val="24"/>
          <w:szCs w:val="24"/>
        </w:rPr>
      </w:pPr>
      <w:r>
        <w:rPr>
          <w:rFonts w:ascii="Bookman Old Style" w:hAnsi="Bookman Old Style" w:cs="TimesNewRomanPSMT"/>
          <w:b/>
          <w:sz w:val="24"/>
          <w:szCs w:val="24"/>
        </w:rPr>
        <w:t xml:space="preserve">α4) </w:t>
      </w:r>
      <w:r>
        <w:rPr>
          <w:rFonts w:ascii="Bookman Old Style" w:hAnsi="Bookman Old Style" w:cs="TimesNewRomanPSMT"/>
          <w:sz w:val="24"/>
          <w:szCs w:val="24"/>
        </w:rPr>
        <w:t>Ο</w:t>
      </w:r>
      <w:r w:rsidR="00F2269A" w:rsidRPr="00FE5CA3">
        <w:rPr>
          <w:rFonts w:ascii="Bookman Old Style" w:hAnsi="Bookman Old Style" w:cs="TimesNewRomanPSMT"/>
          <w:sz w:val="24"/>
          <w:szCs w:val="24"/>
        </w:rPr>
        <w:t>ι αγορές τερματίζονται και τα αγορασμένα ομόλογα</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επαναδιοχετεύονται στην αγορά</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όταν δεν είναι πλέον απαραίτητη</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η επέμβαση της ΕΚΤ για την επίτευξη του στόχου διατήρησης</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του πληθωρισμού κοντά στο 2%.</w:t>
      </w:r>
    </w:p>
    <w:p w:rsidR="00687EF1" w:rsidRDefault="00F2269A" w:rsidP="00303AFA">
      <w:pPr>
        <w:autoSpaceDE w:val="0"/>
        <w:autoSpaceDN w:val="0"/>
        <w:adjustRightInd w:val="0"/>
        <w:spacing w:before="240" w:line="360" w:lineRule="auto"/>
        <w:ind w:left="567" w:hanging="283"/>
        <w:jc w:val="both"/>
        <w:rPr>
          <w:rFonts w:ascii="Bookman Old Style" w:hAnsi="Bookman Old Style" w:cs="TimesNewRomanPSMT"/>
          <w:sz w:val="24"/>
          <w:szCs w:val="24"/>
        </w:rPr>
      </w:pPr>
      <w:r>
        <w:rPr>
          <w:rFonts w:ascii="Bookman Old Style" w:hAnsi="Bookman Old Style" w:cs="TimesNewRomanPSMT"/>
          <w:b/>
          <w:sz w:val="24"/>
          <w:szCs w:val="24"/>
        </w:rPr>
        <w:t xml:space="preserve">β) </w:t>
      </w:r>
      <w:r w:rsidRPr="00FE5CA3">
        <w:rPr>
          <w:rFonts w:ascii="Bookman Old Style" w:hAnsi="Bookman Old Style" w:cs="TimesNewRomanPSMT"/>
          <w:sz w:val="24"/>
          <w:szCs w:val="24"/>
        </w:rPr>
        <w:t xml:space="preserve"> Προσβολή της συνταγματικής ταυτότητας του </w:t>
      </w:r>
      <w:r w:rsidR="009A18B6">
        <w:rPr>
          <w:rFonts w:ascii="Bookman Old Style" w:hAnsi="Bookman Old Style" w:cs="TimesNewRomanPSMT"/>
          <w:sz w:val="24"/>
          <w:szCs w:val="24"/>
        </w:rPr>
        <w:t>Ο</w:t>
      </w:r>
      <w:r w:rsidRPr="00FE5CA3">
        <w:rPr>
          <w:rFonts w:ascii="Bookman Old Style" w:hAnsi="Bookman Old Style" w:cs="TimesNewRomanPSMT"/>
          <w:sz w:val="24"/>
          <w:szCs w:val="24"/>
        </w:rPr>
        <w:t xml:space="preserve">μοσπονδιακού Συντάγματος και </w:t>
      </w:r>
      <w:r>
        <w:rPr>
          <w:rFonts w:ascii="Bookman Old Style" w:hAnsi="Bookman Old Style" w:cs="TimesNewRomanPSMT"/>
          <w:sz w:val="24"/>
          <w:szCs w:val="24"/>
        </w:rPr>
        <w:t xml:space="preserve">της </w:t>
      </w:r>
      <w:r w:rsidRPr="00FE5CA3">
        <w:rPr>
          <w:rFonts w:ascii="Bookman Old Style" w:hAnsi="Bookman Old Style" w:cs="TimesNewRomanPSMT"/>
          <w:sz w:val="24"/>
          <w:szCs w:val="24"/>
        </w:rPr>
        <w:t>δημοσιονομικής αρμοδιότητας του</w:t>
      </w:r>
      <w:r>
        <w:rPr>
          <w:rFonts w:ascii="Bookman Old Style" w:hAnsi="Bookman Old Style" w:cs="TimesNewRomanPSMT"/>
          <w:sz w:val="24"/>
          <w:szCs w:val="24"/>
        </w:rPr>
        <w:t xml:space="preserve"> </w:t>
      </w:r>
      <w:r w:rsidR="00CD7837">
        <w:rPr>
          <w:rFonts w:ascii="Bookman Old Style" w:hAnsi="Bookman Old Style" w:cs="TimesNewRomanPSMT"/>
          <w:sz w:val="24"/>
          <w:szCs w:val="24"/>
        </w:rPr>
        <w:t>Ο</w:t>
      </w:r>
      <w:r w:rsidRPr="00FE5CA3">
        <w:rPr>
          <w:rFonts w:ascii="Bookman Old Style" w:hAnsi="Bookman Old Style" w:cs="TimesNewRomanPSMT"/>
          <w:sz w:val="24"/>
          <w:szCs w:val="24"/>
        </w:rPr>
        <w:t>μοσπονδιακού Κοινοβουλίου δεν διαπιστώνεται.</w:t>
      </w:r>
    </w:p>
    <w:p w:rsidR="00687EF1" w:rsidRDefault="00687EF1" w:rsidP="00303AFA">
      <w:pPr>
        <w:autoSpaceDE w:val="0"/>
        <w:autoSpaceDN w:val="0"/>
        <w:adjustRightInd w:val="0"/>
        <w:spacing w:before="240" w:line="360" w:lineRule="auto"/>
        <w:ind w:left="567" w:hanging="283"/>
        <w:jc w:val="both"/>
        <w:rPr>
          <w:rFonts w:ascii="Bookman Old Style" w:hAnsi="Bookman Old Style" w:cs="TimesNewRomanPSMT"/>
          <w:sz w:val="24"/>
          <w:szCs w:val="24"/>
        </w:rPr>
      </w:pPr>
      <w:r>
        <w:rPr>
          <w:rFonts w:ascii="Bookman Old Style" w:hAnsi="Bookman Old Style" w:cs="TimesNewRomanPSMT"/>
          <w:b/>
          <w:sz w:val="24"/>
          <w:szCs w:val="24"/>
        </w:rPr>
        <w:t>γ</w:t>
      </w:r>
      <w:r w:rsidR="00F2269A">
        <w:rPr>
          <w:rFonts w:ascii="Bookman Old Style" w:hAnsi="Bookman Old Style" w:cs="TimesNewRomanPSMT"/>
          <w:b/>
          <w:sz w:val="24"/>
          <w:szCs w:val="24"/>
        </w:rPr>
        <w:t xml:space="preserve">) </w:t>
      </w:r>
      <w:r w:rsidR="009A18B6">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Η </w:t>
      </w:r>
      <w:r w:rsidR="009A18B6">
        <w:rPr>
          <w:rFonts w:ascii="Bookman Old Style" w:hAnsi="Bookman Old Style" w:cs="TimesNewRomanPSMT"/>
          <w:sz w:val="24"/>
          <w:szCs w:val="24"/>
        </w:rPr>
        <w:t>Ο</w:t>
      </w:r>
      <w:r w:rsidR="00F2269A" w:rsidRPr="00FE5CA3">
        <w:rPr>
          <w:rFonts w:ascii="Bookman Old Style" w:hAnsi="Bookman Old Style" w:cs="TimesNewRomanPSMT"/>
          <w:sz w:val="24"/>
          <w:szCs w:val="24"/>
        </w:rPr>
        <w:t xml:space="preserve">μοσπονδιακή </w:t>
      </w:r>
      <w:r w:rsidR="009A18B6">
        <w:rPr>
          <w:rFonts w:ascii="Bookman Old Style" w:hAnsi="Bookman Old Style" w:cs="TimesNewRomanPSMT"/>
          <w:sz w:val="24"/>
          <w:szCs w:val="24"/>
        </w:rPr>
        <w:t>Κ</w:t>
      </w:r>
      <w:r w:rsidR="00F2269A" w:rsidRPr="00FE5CA3">
        <w:rPr>
          <w:rFonts w:ascii="Bookman Old Style" w:hAnsi="Bookman Old Style" w:cs="TimesNewRomanPSMT"/>
          <w:sz w:val="24"/>
          <w:szCs w:val="24"/>
        </w:rPr>
        <w:t xml:space="preserve">υβέρνηση και το </w:t>
      </w:r>
      <w:r w:rsidR="009A18B6">
        <w:rPr>
          <w:rFonts w:ascii="Bookman Old Style" w:hAnsi="Bookman Old Style" w:cs="TimesNewRomanPSMT"/>
          <w:sz w:val="24"/>
          <w:szCs w:val="24"/>
        </w:rPr>
        <w:t>Ο</w:t>
      </w:r>
      <w:r w:rsidR="00F2269A" w:rsidRPr="00FE5CA3">
        <w:rPr>
          <w:rFonts w:ascii="Bookman Old Style" w:hAnsi="Bookman Old Style" w:cs="TimesNewRomanPSMT"/>
          <w:sz w:val="24"/>
          <w:szCs w:val="24"/>
        </w:rPr>
        <w:t>μοσπονδιακό</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Κοινοβούλιο υποχρεούνται ν</w:t>
      </w:r>
      <w:r w:rsidR="009A18B6">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αντιταχθούν</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στον μέχρι στιγμής</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χειρισμό του προγράμματος </w:t>
      </w:r>
      <w:r w:rsidR="009A18B6">
        <w:rPr>
          <w:rFonts w:ascii="Bookman Old Style" w:hAnsi="Bookman Old Style" w:cs="TimesNewRomanPSMT"/>
          <w:sz w:val="24"/>
          <w:szCs w:val="24"/>
        </w:rPr>
        <w:t>«</w:t>
      </w:r>
      <w:r w:rsidR="00F2269A" w:rsidRPr="00FE5CA3">
        <w:rPr>
          <w:rFonts w:ascii="Bookman Old Style" w:hAnsi="Bookman Old Style" w:cs="TimesNewRomanPSMT"/>
          <w:sz w:val="24"/>
          <w:szCs w:val="24"/>
        </w:rPr>
        <w:t>PSPP</w:t>
      </w:r>
      <w:r w:rsidR="009A18B6">
        <w:rPr>
          <w:rFonts w:ascii="Bookman Old Style" w:hAnsi="Bookman Old Style" w:cs="TimesNewRomanPSMT"/>
          <w:sz w:val="24"/>
          <w:szCs w:val="24"/>
        </w:rPr>
        <w:t>»</w:t>
      </w:r>
      <w:r w:rsidR="00F2269A" w:rsidRPr="00FE5CA3">
        <w:rPr>
          <w:rFonts w:ascii="Bookman Old Style" w:hAnsi="Bookman Old Style" w:cs="TimesNewRomanPSMT"/>
          <w:sz w:val="24"/>
          <w:szCs w:val="24"/>
        </w:rPr>
        <w:t>. Ειδικότερα</w:t>
      </w:r>
      <w:r w:rsidR="009A18B6">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υποχρεούνται να</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προβούν σ</w:t>
      </w:r>
      <w:r w:rsidR="009A18B6">
        <w:rPr>
          <w:rFonts w:ascii="Bookman Old Style" w:hAnsi="Bookman Old Style" w:cs="TimesNewRomanPSMT"/>
          <w:sz w:val="24"/>
          <w:szCs w:val="24"/>
        </w:rPr>
        <w:t>’</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ενέργειες, προκειμένου η ΕΚΤ να διενεργήσει έλεγχο</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αναλογικότητας του προγράμματος.</w:t>
      </w:r>
    </w:p>
    <w:p w:rsidR="00F2269A" w:rsidRDefault="00687EF1" w:rsidP="00303AFA">
      <w:pPr>
        <w:autoSpaceDE w:val="0"/>
        <w:autoSpaceDN w:val="0"/>
        <w:adjustRightInd w:val="0"/>
        <w:spacing w:before="240" w:line="360" w:lineRule="auto"/>
        <w:ind w:left="567" w:hanging="283"/>
        <w:jc w:val="both"/>
        <w:rPr>
          <w:rFonts w:ascii="Bookman Old Style" w:hAnsi="Bookman Old Style" w:cs="TimesNewRomanPSMT"/>
          <w:sz w:val="24"/>
          <w:szCs w:val="24"/>
        </w:rPr>
      </w:pPr>
      <w:r>
        <w:rPr>
          <w:rFonts w:ascii="Bookman Old Style" w:hAnsi="Bookman Old Style" w:cs="TimesNewRomanPSMT"/>
          <w:b/>
          <w:sz w:val="24"/>
          <w:szCs w:val="24"/>
        </w:rPr>
        <w:lastRenderedPageBreak/>
        <w:t>δ</w:t>
      </w:r>
      <w:r w:rsidR="00F2269A" w:rsidRPr="007D6541">
        <w:rPr>
          <w:rFonts w:ascii="Bookman Old Style" w:hAnsi="Bookman Old Style" w:cs="TimesNewRomanPSMT"/>
          <w:b/>
          <w:sz w:val="24"/>
          <w:szCs w:val="24"/>
        </w:rPr>
        <w:t xml:space="preserve">) </w:t>
      </w:r>
      <w:r w:rsidR="00F2269A" w:rsidRPr="00FE5CA3">
        <w:rPr>
          <w:rFonts w:ascii="Bookman Old Style" w:hAnsi="Bookman Old Style" w:cs="TimesNewRomanPSMT"/>
          <w:sz w:val="24"/>
          <w:szCs w:val="24"/>
        </w:rPr>
        <w:t xml:space="preserve">Θεσμικά όργανα, υπηρεσίες και δικαστήρια </w:t>
      </w:r>
      <w:r w:rsidR="00F2269A">
        <w:rPr>
          <w:rFonts w:ascii="Bookman Old Style" w:hAnsi="Bookman Old Style" w:cs="TimesNewRomanPSMT"/>
          <w:sz w:val="24"/>
          <w:szCs w:val="24"/>
        </w:rPr>
        <w:t xml:space="preserve">της </w:t>
      </w:r>
      <w:r w:rsidR="00F2269A" w:rsidRPr="00FE5CA3">
        <w:rPr>
          <w:rFonts w:ascii="Bookman Old Style" w:hAnsi="Bookman Old Style" w:cs="TimesNewRomanPSMT"/>
          <w:sz w:val="24"/>
          <w:szCs w:val="24"/>
        </w:rPr>
        <w:t>Ομοσπονδιακής Δημοκρατίας της Γερμανίας</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απαγορεύεται να</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συνεργούν στην υιοθέτηση και εφαρμογή πράξεων </w:t>
      </w:r>
      <w:r w:rsidR="009A18B6">
        <w:rPr>
          <w:rFonts w:ascii="Bookman Old Style" w:hAnsi="Bookman Old Style" w:cs="TimesNewRomanPSMT"/>
          <w:sz w:val="24"/>
          <w:szCs w:val="24"/>
        </w:rPr>
        <w:t>«</w:t>
      </w:r>
      <w:r w:rsidR="00F2269A" w:rsidRPr="00FE5CA3">
        <w:rPr>
          <w:rFonts w:ascii="Bookman Old Style" w:hAnsi="Bookman Old Style" w:cs="TimesNewRomanPSMT"/>
          <w:sz w:val="24"/>
          <w:szCs w:val="24"/>
        </w:rPr>
        <w:t>ultra</w:t>
      </w:r>
      <w:r w:rsidR="009A18B6">
        <w:rPr>
          <w:rFonts w:ascii="Bookman Old Style" w:hAnsi="Bookman Old Style" w:cs="TimesNewRomanPSMT"/>
          <w:sz w:val="24"/>
          <w:szCs w:val="24"/>
        </w:rPr>
        <w:t>-</w:t>
      </w:r>
      <w:r w:rsidR="00F2269A" w:rsidRPr="00FE5CA3">
        <w:rPr>
          <w:rFonts w:ascii="Bookman Old Style" w:hAnsi="Bookman Old Style" w:cs="TimesNewRomanPSMT"/>
          <w:sz w:val="24"/>
          <w:szCs w:val="24"/>
        </w:rPr>
        <w:t>vires</w:t>
      </w:r>
      <w:r w:rsidR="009A18B6">
        <w:rPr>
          <w:rFonts w:ascii="Bookman Old Style" w:hAnsi="Bookman Old Style" w:cs="TimesNewRomanPSMT"/>
          <w:sz w:val="24"/>
          <w:szCs w:val="24"/>
        </w:rPr>
        <w:t>»</w:t>
      </w:r>
      <w:r w:rsidR="00F2269A" w:rsidRPr="00FE5CA3">
        <w:rPr>
          <w:rFonts w:ascii="Bookman Old Style" w:hAnsi="Bookman Old Style" w:cs="TimesNewRomanPSMT"/>
          <w:sz w:val="24"/>
          <w:szCs w:val="24"/>
        </w:rPr>
        <w:t>. Ως</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εκ τούτου,</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μετά το πέρας μεταβατικής περιόδου τριών μηνών</w:t>
      </w:r>
      <w:r w:rsidR="000052B1">
        <w:rPr>
          <w:rFonts w:ascii="Bookman Old Style" w:hAnsi="Bookman Old Style" w:cs="TimesNewRomanPSMT"/>
          <w:sz w:val="24"/>
          <w:szCs w:val="24"/>
        </w:rPr>
        <w:t>,</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απαγορεύεται στην Bundesbank να συμμετέχει</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στην εφαρμογή</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 xml:space="preserve">των αποφάσεων της ΕΚΤ που σχετίζονται με το πρόγραμμα </w:t>
      </w:r>
      <w:r w:rsidR="009A18B6">
        <w:rPr>
          <w:rFonts w:ascii="Bookman Old Style" w:hAnsi="Bookman Old Style" w:cs="TimesNewRomanPSMT"/>
          <w:sz w:val="24"/>
          <w:szCs w:val="24"/>
        </w:rPr>
        <w:t>«</w:t>
      </w:r>
      <w:r w:rsidR="00F2269A" w:rsidRPr="00FE5CA3">
        <w:rPr>
          <w:rFonts w:ascii="Bookman Old Style" w:hAnsi="Bookman Old Style" w:cs="TimesNewRomanPSMT"/>
          <w:sz w:val="24"/>
          <w:szCs w:val="24"/>
        </w:rPr>
        <w:t>PSPP</w:t>
      </w:r>
      <w:r w:rsidR="009A18B6">
        <w:rPr>
          <w:rFonts w:ascii="Bookman Old Style" w:hAnsi="Bookman Old Style" w:cs="TimesNewRomanPSMT"/>
          <w:sz w:val="24"/>
          <w:szCs w:val="24"/>
        </w:rPr>
        <w:t>»</w:t>
      </w:r>
      <w:r w:rsidR="00F2269A" w:rsidRPr="00FE5CA3">
        <w:rPr>
          <w:rFonts w:ascii="Bookman Old Style" w:hAnsi="Bookman Old Style" w:cs="TimesNewRomanPSMT"/>
          <w:sz w:val="24"/>
          <w:szCs w:val="24"/>
        </w:rPr>
        <w:t>,</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εφόσον η ΕΚΤ</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δεν αποδείξει</w:t>
      </w:r>
      <w:r w:rsidR="009A18B6">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με </w:t>
      </w:r>
      <w:r w:rsidR="009A18B6">
        <w:rPr>
          <w:rFonts w:ascii="Bookman Old Style" w:hAnsi="Bookman Old Style" w:cs="TimesNewRomanPSMT"/>
          <w:sz w:val="24"/>
          <w:szCs w:val="24"/>
        </w:rPr>
        <w:t>τεκμηριωμένο</w:t>
      </w:r>
      <w:r w:rsidR="00F2269A" w:rsidRPr="00FE5CA3">
        <w:rPr>
          <w:rFonts w:ascii="Bookman Old Style" w:hAnsi="Bookman Old Style" w:cs="TimesNewRomanPSMT"/>
          <w:sz w:val="24"/>
          <w:szCs w:val="24"/>
        </w:rPr>
        <w:t xml:space="preserve"> τρόπο</w:t>
      </w:r>
      <w:r w:rsidR="009A18B6">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ότι οι σκοποί</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νομισματικής πολιτικής που επιδιώκεται να</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εξυπηρετηθούν με το</w:t>
      </w:r>
      <w:r w:rsidR="00F2269A">
        <w:rPr>
          <w:rFonts w:ascii="Bookman Old Style" w:hAnsi="Bookman Old Style" w:cs="TimesNewRomanPSMT"/>
          <w:sz w:val="24"/>
          <w:szCs w:val="24"/>
        </w:rPr>
        <w:t xml:space="preserve"> </w:t>
      </w:r>
      <w:r w:rsidR="009A18B6">
        <w:rPr>
          <w:rFonts w:ascii="Bookman Old Style" w:hAnsi="Bookman Old Style" w:cs="TimesNewRomanPSMT"/>
          <w:sz w:val="24"/>
          <w:szCs w:val="24"/>
        </w:rPr>
        <w:t>«</w:t>
      </w:r>
      <w:r w:rsidR="00F2269A" w:rsidRPr="00FE5CA3">
        <w:rPr>
          <w:rFonts w:ascii="Bookman Old Style" w:hAnsi="Bookman Old Style" w:cs="TimesNewRomanPSMT"/>
          <w:sz w:val="24"/>
          <w:szCs w:val="24"/>
        </w:rPr>
        <w:t>PSPP</w:t>
      </w:r>
      <w:r w:rsidR="009A18B6">
        <w:rPr>
          <w:rFonts w:ascii="Bookman Old Style" w:hAnsi="Bookman Old Style" w:cs="TimesNewRomanPSMT"/>
          <w:sz w:val="24"/>
          <w:szCs w:val="24"/>
        </w:rPr>
        <w:t>»</w:t>
      </w:r>
      <w:r w:rsidR="00F2269A" w:rsidRPr="00FE5CA3">
        <w:rPr>
          <w:rFonts w:ascii="Bookman Old Style" w:hAnsi="Bookman Old Style" w:cs="TimesNewRomanPSMT"/>
          <w:sz w:val="24"/>
          <w:szCs w:val="24"/>
        </w:rPr>
        <w:t xml:space="preserve"> δεν είναι δυσανάλογοι σε σχέση με τις οικονομικές και</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δημοσιονομικές</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επιπτώσεις του προγράμματος. Αντ</w:t>
      </w:r>
      <w:r w:rsidR="00B5346F">
        <w:rPr>
          <w:rFonts w:ascii="Bookman Old Style" w:hAnsi="Bookman Old Style" w:cs="TimesNewRomanPSMT"/>
          <w:sz w:val="24"/>
          <w:szCs w:val="24"/>
        </w:rPr>
        <w:t>ιστοίχως</w:t>
      </w:r>
      <w:r w:rsidR="00F2269A" w:rsidRPr="00FE5CA3">
        <w:rPr>
          <w:rFonts w:ascii="Bookman Old Style" w:hAnsi="Bookman Old Style" w:cs="TimesNewRomanPSMT"/>
          <w:sz w:val="24"/>
          <w:szCs w:val="24"/>
        </w:rPr>
        <w:t>, η</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Bundesbank υποχρεούται να μεριμνήσει</w:t>
      </w:r>
      <w:r>
        <w:rPr>
          <w:rFonts w:ascii="Bookman Old Style" w:hAnsi="Bookman Old Style" w:cs="TimesNewRomanPSMT"/>
          <w:sz w:val="24"/>
          <w:szCs w:val="24"/>
        </w:rPr>
        <w:t>,</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προκειμένου να</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καταστεί δυνατό - έστω μακροπρόθεσμα - να πωληθούν οι τίτλοι που</w:t>
      </w:r>
      <w:r w:rsidR="00F2269A">
        <w:rPr>
          <w:rFonts w:ascii="Bookman Old Style" w:hAnsi="Bookman Old Style" w:cs="TimesNewRomanPSMT"/>
          <w:sz w:val="24"/>
          <w:szCs w:val="24"/>
        </w:rPr>
        <w:t xml:space="preserve"> </w:t>
      </w:r>
      <w:r w:rsidR="00F2269A" w:rsidRPr="00FE5CA3">
        <w:rPr>
          <w:rFonts w:ascii="Bookman Old Style" w:hAnsi="Bookman Old Style" w:cs="TimesNewRomanPSMT"/>
          <w:sz w:val="24"/>
          <w:szCs w:val="24"/>
        </w:rPr>
        <w:t>αγοράστηκαν στο πλαίσιο του προγράμματος.</w:t>
      </w:r>
    </w:p>
    <w:p w:rsidR="005822AA" w:rsidRDefault="005822AA" w:rsidP="00303AFA">
      <w:pPr>
        <w:pStyle w:val="a3"/>
        <w:numPr>
          <w:ilvl w:val="0"/>
          <w:numId w:val="10"/>
        </w:numPr>
        <w:autoSpaceDE w:val="0"/>
        <w:autoSpaceDN w:val="0"/>
        <w:adjustRightInd w:val="0"/>
        <w:spacing w:before="240" w:line="360" w:lineRule="auto"/>
        <w:ind w:left="284" w:hanging="284"/>
        <w:contextualSpacing w:val="0"/>
        <w:jc w:val="both"/>
        <w:rPr>
          <w:rFonts w:ascii="Bookman Old Style" w:hAnsi="Bookman Old Style" w:cs="TimesNewRomanPSMT"/>
          <w:b/>
          <w:sz w:val="24"/>
          <w:szCs w:val="24"/>
        </w:rPr>
      </w:pPr>
      <w:r>
        <w:rPr>
          <w:rFonts w:ascii="Bookman Old Style" w:hAnsi="Bookman Old Style" w:cs="TimesNewRomanPSMT"/>
          <w:b/>
          <w:sz w:val="24"/>
          <w:szCs w:val="24"/>
        </w:rPr>
        <w:t>Από τα «</w:t>
      </w:r>
      <w:r>
        <w:rPr>
          <w:rFonts w:ascii="Bookman Old Style" w:hAnsi="Bookman Old Style" w:cs="TimesNewRomanPSMT"/>
          <w:b/>
          <w:sz w:val="24"/>
          <w:szCs w:val="24"/>
          <w:lang w:val="en-US"/>
        </w:rPr>
        <w:t>lacrimae</w:t>
      </w:r>
      <w:r w:rsidRPr="005822AA">
        <w:rPr>
          <w:rFonts w:ascii="Bookman Old Style" w:hAnsi="Bookman Old Style" w:cs="TimesNewRomanPSMT"/>
          <w:b/>
          <w:sz w:val="24"/>
          <w:szCs w:val="24"/>
        </w:rPr>
        <w:t xml:space="preserve"> </w:t>
      </w:r>
      <w:r>
        <w:rPr>
          <w:rFonts w:ascii="Bookman Old Style" w:hAnsi="Bookman Old Style" w:cs="TimesNewRomanPSMT"/>
          <w:b/>
          <w:sz w:val="24"/>
          <w:szCs w:val="24"/>
          <w:lang w:val="en-US"/>
        </w:rPr>
        <w:t>rerum</w:t>
      </w:r>
      <w:r>
        <w:rPr>
          <w:rFonts w:ascii="Bookman Old Style" w:hAnsi="Bookman Old Style" w:cs="TimesNewRomanPSMT"/>
          <w:b/>
          <w:sz w:val="24"/>
          <w:szCs w:val="24"/>
        </w:rPr>
        <w:t>»</w:t>
      </w:r>
      <w:r w:rsidR="00B5346F">
        <w:rPr>
          <w:rFonts w:ascii="Bookman Old Style" w:hAnsi="Bookman Old Style" w:cs="TimesNewRomanPSMT"/>
          <w:b/>
          <w:sz w:val="24"/>
          <w:szCs w:val="24"/>
        </w:rPr>
        <w:t>,</w:t>
      </w:r>
      <w:r>
        <w:rPr>
          <w:rFonts w:ascii="Bookman Old Style" w:hAnsi="Bookman Old Style" w:cs="TimesNewRomanPSMT"/>
          <w:b/>
          <w:sz w:val="24"/>
          <w:szCs w:val="24"/>
        </w:rPr>
        <w:t xml:space="preserve"> στο δέον γενέσθαι.</w:t>
      </w:r>
    </w:p>
    <w:p w:rsidR="00802808" w:rsidRPr="005822AA" w:rsidRDefault="005822AA" w:rsidP="00303AFA">
      <w:pPr>
        <w:pStyle w:val="a3"/>
        <w:autoSpaceDE w:val="0"/>
        <w:autoSpaceDN w:val="0"/>
        <w:adjustRightInd w:val="0"/>
        <w:spacing w:before="240" w:line="360" w:lineRule="auto"/>
        <w:ind w:left="284"/>
        <w:contextualSpacing w:val="0"/>
        <w:jc w:val="both"/>
        <w:rPr>
          <w:rFonts w:ascii="Bookman Old Style" w:hAnsi="Bookman Old Style" w:cs="TimesNewRomanPSMT"/>
          <w:b/>
          <w:sz w:val="24"/>
          <w:szCs w:val="24"/>
        </w:rPr>
      </w:pPr>
      <w:r>
        <w:rPr>
          <w:rFonts w:ascii="Bookman Old Style" w:hAnsi="Bookman Old Style" w:cs="TimesNewRomanPSMT"/>
          <w:sz w:val="24"/>
          <w:szCs w:val="24"/>
        </w:rPr>
        <w:t>Από την κατά τ’ ανωτέρω σειρά συλλογισμών προκύπτει ότι, μ</w:t>
      </w:r>
      <w:r w:rsidR="009A18B6">
        <w:rPr>
          <w:rFonts w:ascii="Bookman Old Style" w:hAnsi="Bookman Old Style" w:cs="TimesNewRomanPSMT"/>
          <w:sz w:val="24"/>
          <w:szCs w:val="24"/>
        </w:rPr>
        <w:t>ε</w:t>
      </w:r>
      <w:r w:rsidR="00802808">
        <w:rPr>
          <w:rFonts w:ascii="Bookman Old Style" w:hAnsi="Bookman Old Style" w:cs="TimesNewRomanPSMT"/>
          <w:sz w:val="24"/>
          <w:szCs w:val="24"/>
        </w:rPr>
        <w:t xml:space="preserve"> την απόφασή του της 5</w:t>
      </w:r>
      <w:r w:rsidR="00802808" w:rsidRPr="00802808">
        <w:rPr>
          <w:rFonts w:ascii="Bookman Old Style" w:hAnsi="Bookman Old Style" w:cs="TimesNewRomanPSMT"/>
          <w:sz w:val="24"/>
          <w:szCs w:val="24"/>
          <w:vertAlign w:val="superscript"/>
        </w:rPr>
        <w:t>ης</w:t>
      </w:r>
      <w:r w:rsidR="00802808">
        <w:rPr>
          <w:rFonts w:ascii="Bookman Old Style" w:hAnsi="Bookman Old Style" w:cs="TimesNewRomanPSMT"/>
          <w:sz w:val="24"/>
          <w:szCs w:val="24"/>
        </w:rPr>
        <w:t xml:space="preserve"> Μαΐου 2020</w:t>
      </w:r>
      <w:r w:rsidR="009A18B6">
        <w:rPr>
          <w:rFonts w:ascii="Bookman Old Style" w:hAnsi="Bookman Old Style" w:cs="TimesNewRomanPSMT"/>
          <w:sz w:val="24"/>
          <w:szCs w:val="24"/>
        </w:rPr>
        <w:t>,</w:t>
      </w:r>
      <w:r w:rsidR="00802808">
        <w:rPr>
          <w:rFonts w:ascii="Bookman Old Style" w:hAnsi="Bookman Old Style" w:cs="TimesNewRomanPSMT"/>
          <w:sz w:val="24"/>
          <w:szCs w:val="24"/>
        </w:rPr>
        <w:t xml:space="preserve"> το Ομοσπονδιακό Συνταγματικό Δικαστήριο της Γερμανίας οδηγήθηκε, μέσ’ από την</w:t>
      </w:r>
      <w:r w:rsidR="000052B1">
        <w:rPr>
          <w:rFonts w:ascii="Bookman Old Style" w:hAnsi="Bookman Old Style" w:cs="TimesNewRomanPSMT"/>
          <w:sz w:val="24"/>
          <w:szCs w:val="24"/>
        </w:rPr>
        <w:t>, έστω και μερική,</w:t>
      </w:r>
      <w:r w:rsidR="00802808">
        <w:rPr>
          <w:rFonts w:ascii="Bookman Old Style" w:hAnsi="Bookman Old Style" w:cs="TimesNewRomanPSMT"/>
          <w:sz w:val="24"/>
          <w:szCs w:val="24"/>
        </w:rPr>
        <w:t xml:space="preserve"> αμφισβήτηση της</w:t>
      </w:r>
      <w:r w:rsidR="000052B1">
        <w:rPr>
          <w:rFonts w:ascii="Bookman Old Style" w:hAnsi="Bookman Old Style" w:cs="TimesNewRomanPSMT"/>
          <w:sz w:val="24"/>
          <w:szCs w:val="24"/>
        </w:rPr>
        <w:t xml:space="preserve"> πλήρους</w:t>
      </w:r>
      <w:r w:rsidR="00802808">
        <w:rPr>
          <w:rFonts w:ascii="Bookman Old Style" w:hAnsi="Bookman Old Style" w:cs="TimesNewRomanPSMT"/>
          <w:sz w:val="24"/>
          <w:szCs w:val="24"/>
        </w:rPr>
        <w:t xml:space="preserve"> </w:t>
      </w:r>
      <w:r w:rsidR="009A18B6">
        <w:rPr>
          <w:rFonts w:ascii="Bookman Old Style" w:hAnsi="Bookman Old Style" w:cs="TimesNewRomanPSMT"/>
          <w:sz w:val="24"/>
          <w:szCs w:val="24"/>
        </w:rPr>
        <w:t>δικαιοδοσίας</w:t>
      </w:r>
      <w:r w:rsidR="00802808">
        <w:rPr>
          <w:rFonts w:ascii="Bookman Old Style" w:hAnsi="Bookman Old Style" w:cs="TimesNewRomanPSMT"/>
          <w:sz w:val="24"/>
          <w:szCs w:val="24"/>
        </w:rPr>
        <w:t xml:space="preserve"> και του δεδικασμένου των αποφάσεων του ΔΕΕ</w:t>
      </w:r>
      <w:r w:rsidR="00B5346F">
        <w:rPr>
          <w:rFonts w:ascii="Bookman Old Style" w:hAnsi="Bookman Old Style" w:cs="TimesNewRomanPSMT"/>
          <w:sz w:val="24"/>
          <w:szCs w:val="24"/>
        </w:rPr>
        <w:t>,</w:t>
      </w:r>
      <w:r w:rsidR="00802808">
        <w:rPr>
          <w:rFonts w:ascii="Bookman Old Style" w:hAnsi="Bookman Old Style" w:cs="TimesNewRomanPSMT"/>
          <w:sz w:val="24"/>
          <w:szCs w:val="24"/>
        </w:rPr>
        <w:t xml:space="preserve"> ως προς την ερμηνεία και εφαρμογή του Ευρωπαϊκού Δικαίου -πρωτογενούς και παραγώγου- και μέσ’ από την αντίστοιχη </w:t>
      </w:r>
      <w:r w:rsidR="00B5346F">
        <w:rPr>
          <w:rFonts w:ascii="Bookman Old Style" w:hAnsi="Bookman Old Style" w:cs="TimesNewRomanPSMT"/>
          <w:sz w:val="24"/>
          <w:szCs w:val="24"/>
        </w:rPr>
        <w:t>επέκταση</w:t>
      </w:r>
      <w:r w:rsidR="00802808">
        <w:rPr>
          <w:rFonts w:ascii="Bookman Old Style" w:hAnsi="Bookman Old Style" w:cs="TimesNewRomanPSMT"/>
          <w:sz w:val="24"/>
          <w:szCs w:val="24"/>
        </w:rPr>
        <w:t xml:space="preserve"> της δικαιοδοσίας του να ερμηνεύει και να εφαρμόζει το Ευρωπαϊκό Δίκαιο</w:t>
      </w:r>
      <w:r w:rsidR="00B5346F">
        <w:rPr>
          <w:rFonts w:ascii="Bookman Old Style" w:hAnsi="Bookman Old Style" w:cs="TimesNewRomanPSMT"/>
          <w:sz w:val="24"/>
          <w:szCs w:val="24"/>
        </w:rPr>
        <w:t>,</w:t>
      </w:r>
      <w:r w:rsidR="00802808">
        <w:rPr>
          <w:rFonts w:ascii="Bookman Old Style" w:hAnsi="Bookman Old Style" w:cs="TimesNewRomanPSMT"/>
          <w:sz w:val="24"/>
          <w:szCs w:val="24"/>
        </w:rPr>
        <w:t xml:space="preserve"> εν συνόλω</w:t>
      </w:r>
      <w:r w:rsidR="00B5346F">
        <w:rPr>
          <w:rFonts w:ascii="Bookman Old Style" w:hAnsi="Bookman Old Style" w:cs="TimesNewRomanPSMT"/>
          <w:sz w:val="24"/>
          <w:szCs w:val="24"/>
        </w:rPr>
        <w:t>,</w:t>
      </w:r>
      <w:r w:rsidR="009A18B6">
        <w:rPr>
          <w:rFonts w:ascii="Bookman Old Style" w:hAnsi="Bookman Old Style" w:cs="TimesNewRomanPSMT"/>
          <w:sz w:val="24"/>
          <w:szCs w:val="24"/>
        </w:rPr>
        <w:t xml:space="preserve"> και</w:t>
      </w:r>
      <w:r w:rsidR="00802808">
        <w:rPr>
          <w:rFonts w:ascii="Bookman Old Style" w:hAnsi="Bookman Old Style" w:cs="TimesNewRomanPSMT"/>
          <w:sz w:val="24"/>
          <w:szCs w:val="24"/>
        </w:rPr>
        <w:t xml:space="preserve"> υπό το φως του γράμματος και του πνεύματος του Συντάγματος της Ομοσπονδιακής Δημοκρατίας της Γερμανίας, εμμέσως πλην σαφώς σε μια μορφή αμφισβήτησης της υπεροχής του </w:t>
      </w:r>
      <w:r w:rsidR="00B5346F">
        <w:rPr>
          <w:rFonts w:ascii="Bookman Old Style" w:hAnsi="Bookman Old Style" w:cs="TimesNewRomanPSMT"/>
          <w:sz w:val="24"/>
          <w:szCs w:val="24"/>
        </w:rPr>
        <w:t xml:space="preserve">Ευρωπαϊκού έναντι του </w:t>
      </w:r>
      <w:r w:rsidR="009A18B6">
        <w:rPr>
          <w:rFonts w:ascii="Bookman Old Style" w:hAnsi="Bookman Old Style" w:cs="TimesNewRomanPSMT"/>
          <w:sz w:val="24"/>
          <w:szCs w:val="24"/>
        </w:rPr>
        <w:t xml:space="preserve">Εθνικού </w:t>
      </w:r>
      <w:r w:rsidR="00802808">
        <w:rPr>
          <w:rFonts w:ascii="Bookman Old Style" w:hAnsi="Bookman Old Style" w:cs="TimesNewRomanPSMT"/>
          <w:sz w:val="24"/>
          <w:szCs w:val="24"/>
        </w:rPr>
        <w:t xml:space="preserve">Δικαίου.  Όλα δείχνουν ότι η νομολογιακή του πορεία ήταν, σχεδόν, αναμενόμενη, αν αναχθούμε στα </w:t>
      </w:r>
      <w:r w:rsidR="00802808">
        <w:rPr>
          <w:rFonts w:ascii="Bookman Old Style" w:hAnsi="Bookman Old Style" w:cs="TimesNewRomanPSMT"/>
          <w:sz w:val="24"/>
          <w:szCs w:val="24"/>
          <w:lang w:val="en-US"/>
        </w:rPr>
        <w:t>obiter</w:t>
      </w:r>
      <w:r w:rsidR="00802808" w:rsidRPr="00802808">
        <w:rPr>
          <w:rFonts w:ascii="Bookman Old Style" w:hAnsi="Bookman Old Style" w:cs="TimesNewRomanPSMT"/>
          <w:sz w:val="24"/>
          <w:szCs w:val="24"/>
        </w:rPr>
        <w:t xml:space="preserve"> </w:t>
      </w:r>
      <w:r w:rsidR="00802808">
        <w:rPr>
          <w:rFonts w:ascii="Bookman Old Style" w:hAnsi="Bookman Old Style" w:cs="TimesNewRomanPSMT"/>
          <w:sz w:val="24"/>
          <w:szCs w:val="24"/>
          <w:lang w:val="en-US"/>
        </w:rPr>
        <w:t>dicta</w:t>
      </w:r>
      <w:r w:rsidR="00802808" w:rsidRPr="00802808">
        <w:rPr>
          <w:rFonts w:ascii="Bookman Old Style" w:hAnsi="Bookman Old Style" w:cs="TimesNewRomanPSMT"/>
          <w:sz w:val="24"/>
          <w:szCs w:val="24"/>
        </w:rPr>
        <w:t xml:space="preserve"> </w:t>
      </w:r>
      <w:r w:rsidR="00802808">
        <w:rPr>
          <w:rFonts w:ascii="Bookman Old Style" w:hAnsi="Bookman Old Style" w:cs="TimesNewRomanPSMT"/>
          <w:sz w:val="24"/>
          <w:szCs w:val="24"/>
        </w:rPr>
        <w:t xml:space="preserve"> της απόφασής του της 21</w:t>
      </w:r>
      <w:r w:rsidR="00802808" w:rsidRPr="00802808">
        <w:rPr>
          <w:rFonts w:ascii="Bookman Old Style" w:hAnsi="Bookman Old Style" w:cs="TimesNewRomanPSMT"/>
          <w:sz w:val="24"/>
          <w:szCs w:val="24"/>
          <w:vertAlign w:val="superscript"/>
        </w:rPr>
        <w:t>ης</w:t>
      </w:r>
      <w:r w:rsidR="00802808">
        <w:rPr>
          <w:rFonts w:ascii="Bookman Old Style" w:hAnsi="Bookman Old Style" w:cs="TimesNewRomanPSMT"/>
          <w:sz w:val="24"/>
          <w:szCs w:val="24"/>
        </w:rPr>
        <w:t xml:space="preserve"> Ιουνίου 2016. </w:t>
      </w:r>
      <w:r>
        <w:rPr>
          <w:rFonts w:ascii="Bookman Old Style" w:hAnsi="Bookman Old Style" w:cs="TimesNewRomanPSMT"/>
          <w:sz w:val="24"/>
          <w:szCs w:val="24"/>
        </w:rPr>
        <w:t xml:space="preserve"> Και, όπως είναι ευνόητο, </w:t>
      </w:r>
      <w:r w:rsidR="00B5346F">
        <w:rPr>
          <w:rFonts w:ascii="Bookman Old Style" w:hAnsi="Bookman Old Style" w:cs="TimesNewRomanPSMT"/>
          <w:sz w:val="24"/>
          <w:szCs w:val="24"/>
        </w:rPr>
        <w:t>το μεγάλο ζήτημα</w:t>
      </w:r>
      <w:r>
        <w:rPr>
          <w:rFonts w:ascii="Bookman Old Style" w:hAnsi="Bookman Old Style" w:cs="TimesNewRomanPSMT"/>
          <w:sz w:val="24"/>
          <w:szCs w:val="24"/>
        </w:rPr>
        <w:t xml:space="preserve"> για όλα τα αρμόδια όργανα της Ευρωπαϊκής Ένωσης</w:t>
      </w:r>
      <w:r w:rsidR="00B5346F">
        <w:rPr>
          <w:rFonts w:ascii="Bookman Old Style" w:hAnsi="Bookman Old Style" w:cs="TimesNewRomanPSMT"/>
          <w:sz w:val="24"/>
          <w:szCs w:val="24"/>
        </w:rPr>
        <w:t xml:space="preserve"> -πέραν</w:t>
      </w:r>
      <w:r w:rsidR="004B23BD">
        <w:rPr>
          <w:rFonts w:ascii="Bookman Old Style" w:hAnsi="Bookman Old Style" w:cs="TimesNewRomanPSMT"/>
          <w:sz w:val="24"/>
          <w:szCs w:val="24"/>
        </w:rPr>
        <w:t>,</w:t>
      </w:r>
      <w:r w:rsidR="00B5346F">
        <w:rPr>
          <w:rFonts w:ascii="Bookman Old Style" w:hAnsi="Bookman Old Style" w:cs="TimesNewRomanPSMT"/>
          <w:sz w:val="24"/>
          <w:szCs w:val="24"/>
        </w:rPr>
        <w:t xml:space="preserve"> βεβαίως, της προφαν</w:t>
      </w:r>
      <w:r w:rsidR="004B23BD">
        <w:rPr>
          <w:rFonts w:ascii="Bookman Old Style" w:hAnsi="Bookman Old Style" w:cs="TimesNewRomanPSMT"/>
          <w:sz w:val="24"/>
          <w:szCs w:val="24"/>
        </w:rPr>
        <w:t>ώ</w:t>
      </w:r>
      <w:r w:rsidR="00B5346F">
        <w:rPr>
          <w:rFonts w:ascii="Bookman Old Style" w:hAnsi="Bookman Old Style" w:cs="TimesNewRomanPSMT"/>
          <w:sz w:val="24"/>
          <w:szCs w:val="24"/>
        </w:rPr>
        <w:t>ς</w:t>
      </w:r>
      <w:r>
        <w:rPr>
          <w:rFonts w:ascii="Bookman Old Style" w:hAnsi="Bookman Old Style" w:cs="TimesNewRomanPSMT"/>
          <w:sz w:val="24"/>
          <w:szCs w:val="24"/>
        </w:rPr>
        <w:t xml:space="preserve"> «</w:t>
      </w:r>
      <w:r>
        <w:rPr>
          <w:rFonts w:ascii="Bookman Old Style" w:hAnsi="Bookman Old Style" w:cs="TimesNewRomanPSMT"/>
          <w:sz w:val="24"/>
          <w:szCs w:val="24"/>
          <w:lang w:val="en-US"/>
        </w:rPr>
        <w:t>ultra</w:t>
      </w:r>
      <w:r w:rsidRPr="005822AA">
        <w:rPr>
          <w:rFonts w:ascii="Bookman Old Style" w:hAnsi="Bookman Old Style" w:cs="TimesNewRomanPSMT"/>
          <w:sz w:val="24"/>
          <w:szCs w:val="24"/>
        </w:rPr>
        <w:t xml:space="preserve"> </w:t>
      </w:r>
      <w:r>
        <w:rPr>
          <w:rFonts w:ascii="Bookman Old Style" w:hAnsi="Bookman Old Style" w:cs="TimesNewRomanPSMT"/>
          <w:sz w:val="24"/>
          <w:szCs w:val="24"/>
          <w:lang w:val="en-US"/>
        </w:rPr>
        <w:t>vires</w:t>
      </w:r>
      <w:r>
        <w:rPr>
          <w:rFonts w:ascii="Bookman Old Style" w:hAnsi="Bookman Old Style" w:cs="TimesNewRomanPSMT"/>
          <w:sz w:val="24"/>
          <w:szCs w:val="24"/>
        </w:rPr>
        <w:t>» δικαιοδοτική</w:t>
      </w:r>
      <w:r w:rsidR="00B5346F">
        <w:rPr>
          <w:rFonts w:ascii="Bookman Old Style" w:hAnsi="Bookman Old Style" w:cs="TimesNewRomanPSMT"/>
          <w:sz w:val="24"/>
          <w:szCs w:val="24"/>
        </w:rPr>
        <w:t>ς</w:t>
      </w:r>
      <w:r>
        <w:rPr>
          <w:rFonts w:ascii="Bookman Old Style" w:hAnsi="Bookman Old Style" w:cs="TimesNewRomanPSMT"/>
          <w:sz w:val="24"/>
          <w:szCs w:val="24"/>
        </w:rPr>
        <w:t xml:space="preserve"> παρέμβαση</w:t>
      </w:r>
      <w:r w:rsidR="00B5346F">
        <w:rPr>
          <w:rFonts w:ascii="Bookman Old Style" w:hAnsi="Bookman Old Style" w:cs="TimesNewRomanPSMT"/>
          <w:sz w:val="24"/>
          <w:szCs w:val="24"/>
        </w:rPr>
        <w:t>ς</w:t>
      </w:r>
      <w:r>
        <w:rPr>
          <w:rFonts w:ascii="Bookman Old Style" w:hAnsi="Bookman Old Style" w:cs="TimesNewRomanPSMT"/>
          <w:sz w:val="24"/>
          <w:szCs w:val="24"/>
        </w:rPr>
        <w:t xml:space="preserve"> του Ομοσπονδιακού Συνταγματικού Δικαστηρίου της Γερμανίας</w:t>
      </w:r>
      <w:r w:rsidR="00B5346F">
        <w:rPr>
          <w:rFonts w:ascii="Bookman Old Style" w:hAnsi="Bookman Old Style" w:cs="TimesNewRomanPSMT"/>
          <w:sz w:val="24"/>
          <w:szCs w:val="24"/>
        </w:rPr>
        <w:t>-</w:t>
      </w:r>
      <w:r>
        <w:rPr>
          <w:rFonts w:ascii="Bookman Old Style" w:hAnsi="Bookman Old Style" w:cs="TimesNewRomanPSMT"/>
          <w:sz w:val="24"/>
          <w:szCs w:val="24"/>
        </w:rPr>
        <w:t xml:space="preserve"> είναι το δέον γενέσθαι, ώστε </w:t>
      </w:r>
      <w:r>
        <w:rPr>
          <w:rFonts w:ascii="Bookman Old Style" w:hAnsi="Bookman Old Style" w:cs="TimesNewRomanPSMT"/>
          <w:sz w:val="24"/>
          <w:szCs w:val="24"/>
        </w:rPr>
        <w:lastRenderedPageBreak/>
        <w:t xml:space="preserve">αυτή η έκρυθμη κατάσταση </w:t>
      </w:r>
      <w:r w:rsidR="00B5346F">
        <w:rPr>
          <w:rFonts w:ascii="Bookman Old Style" w:hAnsi="Bookman Old Style" w:cs="TimesNewRomanPSMT"/>
          <w:sz w:val="24"/>
          <w:szCs w:val="24"/>
        </w:rPr>
        <w:t>ως προς την λειτουργία της</w:t>
      </w:r>
      <w:r>
        <w:rPr>
          <w:rFonts w:ascii="Bookman Old Style" w:hAnsi="Bookman Old Style" w:cs="TimesNewRomanPSMT"/>
          <w:sz w:val="24"/>
          <w:szCs w:val="24"/>
        </w:rPr>
        <w:t xml:space="preserve"> Ευρωπαϊκής Έννομης Τάξης ν’ αντιμετωπισθεί εγκαίρως και καταλλήλως. </w:t>
      </w:r>
    </w:p>
    <w:p w:rsidR="005822AA" w:rsidRPr="005822AA" w:rsidRDefault="00802808" w:rsidP="00303AFA">
      <w:pPr>
        <w:autoSpaceDE w:val="0"/>
        <w:autoSpaceDN w:val="0"/>
        <w:adjustRightInd w:val="0"/>
        <w:spacing w:before="240" w:line="360" w:lineRule="auto"/>
        <w:ind w:left="284" w:hanging="284"/>
        <w:jc w:val="both"/>
        <w:rPr>
          <w:rFonts w:ascii="Bookman Old Style" w:hAnsi="Bookman Old Style" w:cs="TimesNewRomanPSMT"/>
          <w:b/>
          <w:sz w:val="24"/>
          <w:szCs w:val="24"/>
        </w:rPr>
      </w:pPr>
      <w:r>
        <w:rPr>
          <w:rFonts w:ascii="Bookman Old Style" w:hAnsi="Bookman Old Style" w:cs="TimesNewRomanPSMT"/>
          <w:b/>
          <w:sz w:val="24"/>
          <w:szCs w:val="24"/>
        </w:rPr>
        <w:t>Α.</w:t>
      </w:r>
      <w:r w:rsidR="005822AA">
        <w:rPr>
          <w:rFonts w:ascii="Bookman Old Style" w:hAnsi="Bookman Old Style" w:cs="TimesNewRomanPSMT"/>
          <w:b/>
          <w:sz w:val="24"/>
          <w:szCs w:val="24"/>
        </w:rPr>
        <w:t xml:space="preserve"> «</w:t>
      </w:r>
      <w:r w:rsidR="005822AA">
        <w:rPr>
          <w:rFonts w:ascii="Bookman Old Style" w:hAnsi="Bookman Old Style" w:cs="TimesNewRomanPSMT"/>
          <w:b/>
          <w:sz w:val="24"/>
          <w:szCs w:val="24"/>
          <w:lang w:val="en-US"/>
        </w:rPr>
        <w:t>Lacrimae</w:t>
      </w:r>
      <w:r w:rsidR="005822AA" w:rsidRPr="005822AA">
        <w:rPr>
          <w:rFonts w:ascii="Bookman Old Style" w:hAnsi="Bookman Old Style" w:cs="TimesNewRomanPSMT"/>
          <w:b/>
          <w:sz w:val="24"/>
          <w:szCs w:val="24"/>
        </w:rPr>
        <w:t xml:space="preserve"> </w:t>
      </w:r>
      <w:r w:rsidR="005822AA">
        <w:rPr>
          <w:rFonts w:ascii="Bookman Old Style" w:hAnsi="Bookman Old Style" w:cs="TimesNewRomanPSMT"/>
          <w:b/>
          <w:sz w:val="24"/>
          <w:szCs w:val="24"/>
          <w:lang w:val="en-US"/>
        </w:rPr>
        <w:t>rerum</w:t>
      </w:r>
      <w:r w:rsidR="005822AA">
        <w:rPr>
          <w:rFonts w:ascii="Bookman Old Style" w:hAnsi="Bookman Old Style" w:cs="TimesNewRomanPSMT"/>
          <w:b/>
          <w:sz w:val="24"/>
          <w:szCs w:val="24"/>
        </w:rPr>
        <w:t xml:space="preserve">». </w:t>
      </w:r>
      <w:r w:rsidR="00B5346F">
        <w:rPr>
          <w:rFonts w:ascii="Bookman Old Style" w:hAnsi="Bookman Old Style" w:cs="TimesNewRomanPSMT"/>
          <w:b/>
          <w:sz w:val="24"/>
          <w:szCs w:val="24"/>
        </w:rPr>
        <w:t>Οι αβελτηρίες του παρελθόντος.</w:t>
      </w:r>
    </w:p>
    <w:p w:rsidR="00802808" w:rsidRDefault="00802808" w:rsidP="00303AFA">
      <w:pPr>
        <w:autoSpaceDE w:val="0"/>
        <w:autoSpaceDN w:val="0"/>
        <w:adjustRightInd w:val="0"/>
        <w:spacing w:before="240" w:line="360" w:lineRule="auto"/>
        <w:ind w:left="284"/>
        <w:jc w:val="both"/>
        <w:rPr>
          <w:rFonts w:ascii="Bookman Old Style" w:hAnsi="Bookman Old Style" w:cs="TimesNewRomanPSMT"/>
          <w:sz w:val="24"/>
          <w:szCs w:val="24"/>
        </w:rPr>
      </w:pPr>
      <w:r>
        <w:rPr>
          <w:rFonts w:ascii="Bookman Old Style" w:hAnsi="Bookman Old Style" w:cs="TimesNewRomanPSMT"/>
          <w:sz w:val="24"/>
          <w:szCs w:val="24"/>
        </w:rPr>
        <w:t>Σε μια λιτή και πολύ προσεκτική ανακοίνωσή του (</w:t>
      </w:r>
      <w:r w:rsidR="007F16F8">
        <w:rPr>
          <w:rFonts w:ascii="Bookman Old Style" w:hAnsi="Bookman Old Style" w:cs="TimesNewRomanPSMT"/>
          <w:sz w:val="24"/>
          <w:szCs w:val="24"/>
        </w:rPr>
        <w:t>α</w:t>
      </w:r>
      <w:r>
        <w:rPr>
          <w:rFonts w:ascii="Bookman Old Style" w:hAnsi="Bookman Old Style" w:cs="TimesNewRomanPSMT"/>
          <w:sz w:val="24"/>
          <w:szCs w:val="24"/>
        </w:rPr>
        <w:t>ρ. 58/20) της 8</w:t>
      </w:r>
      <w:r w:rsidRPr="00802808">
        <w:rPr>
          <w:rFonts w:ascii="Bookman Old Style" w:hAnsi="Bookman Old Style" w:cs="TimesNewRomanPSMT"/>
          <w:sz w:val="24"/>
          <w:szCs w:val="24"/>
          <w:vertAlign w:val="superscript"/>
        </w:rPr>
        <w:t>ης</w:t>
      </w:r>
      <w:r>
        <w:rPr>
          <w:rFonts w:ascii="Bookman Old Style" w:hAnsi="Bookman Old Style" w:cs="TimesNewRomanPSMT"/>
          <w:sz w:val="24"/>
          <w:szCs w:val="24"/>
        </w:rPr>
        <w:t xml:space="preserve"> Μα</w:t>
      </w:r>
      <w:r w:rsidR="002A1BDF">
        <w:rPr>
          <w:rFonts w:ascii="Bookman Old Style" w:hAnsi="Bookman Old Style" w:cs="TimesNewRomanPSMT"/>
          <w:sz w:val="24"/>
          <w:szCs w:val="24"/>
        </w:rPr>
        <w:t>ΐ</w:t>
      </w:r>
      <w:r>
        <w:rPr>
          <w:rFonts w:ascii="Bookman Old Style" w:hAnsi="Bookman Old Style" w:cs="TimesNewRomanPSMT"/>
          <w:sz w:val="24"/>
          <w:szCs w:val="24"/>
        </w:rPr>
        <w:t xml:space="preserve">ου 2020, η οποία μάλλον θυμίζει τον στίχο (αρ. 462) από την Αινιάδα του </w:t>
      </w:r>
      <w:r w:rsidR="006C399A">
        <w:rPr>
          <w:rFonts w:ascii="Bookman Old Style" w:hAnsi="Bookman Old Style" w:cs="TimesNewRomanPSMT"/>
          <w:sz w:val="24"/>
          <w:szCs w:val="24"/>
        </w:rPr>
        <w:t>Β</w:t>
      </w:r>
      <w:r>
        <w:rPr>
          <w:rFonts w:ascii="Bookman Old Style" w:hAnsi="Bookman Old Style" w:cs="TimesNewRomanPSMT"/>
          <w:sz w:val="24"/>
          <w:szCs w:val="24"/>
        </w:rPr>
        <w:t>ιργίλιου «</w:t>
      </w:r>
      <w:r>
        <w:rPr>
          <w:rFonts w:ascii="Bookman Old Style" w:hAnsi="Bookman Old Style" w:cs="TimesNewRomanPSMT"/>
          <w:sz w:val="24"/>
          <w:szCs w:val="24"/>
          <w:lang w:val="en-US"/>
        </w:rPr>
        <w:t>sunt</w:t>
      </w:r>
      <w:r w:rsidRPr="00802808">
        <w:rPr>
          <w:rFonts w:ascii="Bookman Old Style" w:hAnsi="Bookman Old Style" w:cs="TimesNewRomanPSMT"/>
          <w:sz w:val="24"/>
          <w:szCs w:val="24"/>
        </w:rPr>
        <w:t xml:space="preserve"> </w:t>
      </w:r>
      <w:r>
        <w:rPr>
          <w:rFonts w:ascii="Bookman Old Style" w:hAnsi="Bookman Old Style" w:cs="TimesNewRomanPSMT"/>
          <w:sz w:val="24"/>
          <w:szCs w:val="24"/>
          <w:lang w:val="en-US"/>
        </w:rPr>
        <w:t>lacrimae</w:t>
      </w:r>
      <w:r w:rsidRPr="00802808">
        <w:rPr>
          <w:rFonts w:ascii="Bookman Old Style" w:hAnsi="Bookman Old Style" w:cs="TimesNewRomanPSMT"/>
          <w:sz w:val="24"/>
          <w:szCs w:val="24"/>
        </w:rPr>
        <w:t xml:space="preserve"> </w:t>
      </w:r>
      <w:r>
        <w:rPr>
          <w:rFonts w:ascii="Bookman Old Style" w:hAnsi="Bookman Old Style" w:cs="TimesNewRomanPSMT"/>
          <w:sz w:val="24"/>
          <w:szCs w:val="24"/>
          <w:lang w:val="en-US"/>
        </w:rPr>
        <w:t>rerum</w:t>
      </w:r>
      <w:r w:rsidRPr="00802808">
        <w:rPr>
          <w:rFonts w:ascii="Bookman Old Style" w:hAnsi="Bookman Old Style" w:cs="TimesNewRomanPSMT"/>
          <w:sz w:val="24"/>
          <w:szCs w:val="24"/>
        </w:rPr>
        <w:t xml:space="preserve"> </w:t>
      </w:r>
      <w:r>
        <w:rPr>
          <w:rFonts w:ascii="Bookman Old Style" w:hAnsi="Bookman Old Style" w:cs="TimesNewRomanPSMT"/>
          <w:sz w:val="24"/>
          <w:szCs w:val="24"/>
          <w:lang w:val="en-US"/>
        </w:rPr>
        <w:t>et</w:t>
      </w:r>
      <w:r w:rsidRPr="00802808">
        <w:rPr>
          <w:rFonts w:ascii="Bookman Old Style" w:hAnsi="Bookman Old Style" w:cs="TimesNewRomanPSMT"/>
          <w:sz w:val="24"/>
          <w:szCs w:val="24"/>
        </w:rPr>
        <w:t xml:space="preserve"> </w:t>
      </w:r>
      <w:r>
        <w:rPr>
          <w:rFonts w:ascii="Bookman Old Style" w:hAnsi="Bookman Old Style" w:cs="TimesNewRomanPSMT"/>
          <w:sz w:val="24"/>
          <w:szCs w:val="24"/>
          <w:lang w:val="en-US"/>
        </w:rPr>
        <w:t>mentem</w:t>
      </w:r>
      <w:r w:rsidRPr="00802808">
        <w:rPr>
          <w:rFonts w:ascii="Bookman Old Style" w:hAnsi="Bookman Old Style" w:cs="TimesNewRomanPSMT"/>
          <w:sz w:val="24"/>
          <w:szCs w:val="24"/>
        </w:rPr>
        <w:t xml:space="preserve"> </w:t>
      </w:r>
      <w:r>
        <w:rPr>
          <w:rFonts w:ascii="Bookman Old Style" w:hAnsi="Bookman Old Style" w:cs="TimesNewRomanPSMT"/>
          <w:sz w:val="24"/>
          <w:szCs w:val="24"/>
          <w:lang w:val="en-US"/>
        </w:rPr>
        <w:t>mortalia</w:t>
      </w:r>
      <w:r w:rsidRPr="00802808">
        <w:rPr>
          <w:rFonts w:ascii="Bookman Old Style" w:hAnsi="Bookman Old Style" w:cs="TimesNewRomanPSMT"/>
          <w:sz w:val="24"/>
          <w:szCs w:val="24"/>
        </w:rPr>
        <w:t xml:space="preserve"> </w:t>
      </w:r>
      <w:r>
        <w:rPr>
          <w:rFonts w:ascii="Bookman Old Style" w:hAnsi="Bookman Old Style" w:cs="TimesNewRomanPSMT"/>
          <w:sz w:val="24"/>
          <w:szCs w:val="24"/>
          <w:lang w:val="en-US"/>
        </w:rPr>
        <w:t>tang</w:t>
      </w:r>
      <w:r w:rsidR="009A18B6">
        <w:rPr>
          <w:rFonts w:ascii="Bookman Old Style" w:hAnsi="Bookman Old Style" w:cs="TimesNewRomanPSMT"/>
          <w:sz w:val="24"/>
          <w:szCs w:val="24"/>
          <w:lang w:val="en-US"/>
        </w:rPr>
        <w:t>u</w:t>
      </w:r>
      <w:r>
        <w:rPr>
          <w:rFonts w:ascii="Bookman Old Style" w:hAnsi="Bookman Old Style" w:cs="TimesNewRomanPSMT"/>
          <w:sz w:val="24"/>
          <w:szCs w:val="24"/>
          <w:lang w:val="en-US"/>
        </w:rPr>
        <w:t>nt</w:t>
      </w:r>
      <w:r>
        <w:rPr>
          <w:rFonts w:ascii="Bookman Old Style" w:hAnsi="Bookman Old Style" w:cs="TimesNewRomanPSMT"/>
          <w:sz w:val="24"/>
          <w:szCs w:val="24"/>
        </w:rPr>
        <w:t>»</w:t>
      </w:r>
      <w:r w:rsidR="005822AA">
        <w:rPr>
          <w:rFonts w:ascii="Bookman Old Style" w:hAnsi="Bookman Old Style" w:cs="TimesNewRomanPSMT"/>
          <w:sz w:val="24"/>
          <w:szCs w:val="24"/>
        </w:rPr>
        <w:t xml:space="preserve"> -</w:t>
      </w:r>
      <w:r w:rsidR="009830AA">
        <w:rPr>
          <w:rFonts w:ascii="Bookman Old Style" w:hAnsi="Bookman Old Style" w:cs="TimesNewRomanPSMT"/>
          <w:sz w:val="24"/>
          <w:szCs w:val="24"/>
        </w:rPr>
        <w:t xml:space="preserve">«υπάρχουν δάκρυα για τα πράγματα, τα οποία παρακινούν το θυμικό των </w:t>
      </w:r>
      <w:r w:rsidR="00B5346F">
        <w:rPr>
          <w:rFonts w:ascii="Bookman Old Style" w:hAnsi="Bookman Old Style" w:cs="TimesNewRomanPSMT"/>
          <w:sz w:val="24"/>
          <w:szCs w:val="24"/>
        </w:rPr>
        <w:t>θνητών</w:t>
      </w:r>
      <w:r w:rsidR="009830AA">
        <w:rPr>
          <w:rFonts w:ascii="Bookman Old Style" w:hAnsi="Bookman Old Style" w:cs="TimesNewRomanPSMT"/>
          <w:sz w:val="24"/>
          <w:szCs w:val="24"/>
        </w:rPr>
        <w:t xml:space="preserve">»- </w:t>
      </w:r>
      <w:r>
        <w:rPr>
          <w:rFonts w:ascii="Bookman Old Style" w:hAnsi="Bookman Old Style" w:cs="TimesNewRomanPSMT"/>
          <w:sz w:val="24"/>
          <w:szCs w:val="24"/>
        </w:rPr>
        <w:t xml:space="preserve"> το ΔΕΕ</w:t>
      </w:r>
      <w:r w:rsidR="009830AA">
        <w:rPr>
          <w:rFonts w:ascii="Bookman Old Style" w:hAnsi="Bookman Old Style" w:cs="TimesNewRomanPSMT"/>
          <w:sz w:val="24"/>
          <w:szCs w:val="24"/>
        </w:rPr>
        <w:t xml:space="preserve">, προφανώς αναλογιζόμενο το πώς και με ευθύνη ποίων η κατάσταση έφθασε ως εδώ, </w:t>
      </w:r>
      <w:r>
        <w:rPr>
          <w:rFonts w:ascii="Bookman Old Style" w:hAnsi="Bookman Old Style" w:cs="TimesNewRomanPSMT"/>
          <w:sz w:val="24"/>
          <w:szCs w:val="24"/>
        </w:rPr>
        <w:t xml:space="preserve"> τόνισε τα εξής, αφού προηγουμένως διευκρίνισε πως, κατ’ αρχήν, ουδέποτε σχολιάζει τις αποφάσεις των Εθνικών Δικαστηρίων: «</w:t>
      </w:r>
      <w:r w:rsidRPr="000052B1">
        <w:rPr>
          <w:rFonts w:ascii="Bookman Old Style" w:hAnsi="Bookman Old Style" w:cs="TimesNewRomanPSMT"/>
          <w:i/>
          <w:sz w:val="24"/>
          <w:szCs w:val="24"/>
        </w:rPr>
        <w:t xml:space="preserve">Υπενθυμίζεται, γενικώς, ότι, κατά την πάγια νομολογία του ΔΕΕ, η απόφαση που εκδίδεται κατόπιν προδικαστικού ερωτήματος είναι δεσμευτική για τον Εθνικό Δικαστή ως προς την επίλυση της ενώπιόν του επίδικης διαφοράς (απόφαση του ΔΕΕ της 14.12.2000, </w:t>
      </w:r>
      <w:r w:rsidRPr="000052B1">
        <w:rPr>
          <w:rFonts w:ascii="Bookman Old Style" w:hAnsi="Bookman Old Style" w:cs="TimesNewRomanPSMT"/>
          <w:i/>
          <w:sz w:val="24"/>
          <w:szCs w:val="24"/>
          <w:lang w:val="en-US"/>
        </w:rPr>
        <w:t>Fazenda</w:t>
      </w:r>
      <w:r w:rsidRPr="000052B1">
        <w:rPr>
          <w:rFonts w:ascii="Bookman Old Style" w:hAnsi="Bookman Old Style" w:cs="TimesNewRomanPSMT"/>
          <w:i/>
          <w:sz w:val="24"/>
          <w:szCs w:val="24"/>
        </w:rPr>
        <w:t xml:space="preserve"> </w:t>
      </w:r>
      <w:r w:rsidRPr="000052B1">
        <w:rPr>
          <w:rFonts w:ascii="Bookman Old Style" w:hAnsi="Bookman Old Style" w:cs="TimesNewRomanPSMT"/>
          <w:i/>
          <w:sz w:val="24"/>
          <w:szCs w:val="24"/>
          <w:lang w:val="en-US"/>
        </w:rPr>
        <w:t>Publica</w:t>
      </w:r>
      <w:r w:rsidRPr="000052B1">
        <w:rPr>
          <w:rFonts w:ascii="Bookman Old Style" w:hAnsi="Bookman Old Style" w:cs="TimesNewRomanPSMT"/>
          <w:i/>
          <w:sz w:val="24"/>
          <w:szCs w:val="24"/>
        </w:rPr>
        <w:t xml:space="preserve">, </w:t>
      </w:r>
      <w:r w:rsidRPr="000052B1">
        <w:rPr>
          <w:rFonts w:ascii="Bookman Old Style" w:hAnsi="Bookman Old Style" w:cs="TimesNewRomanPSMT"/>
          <w:i/>
          <w:sz w:val="24"/>
          <w:szCs w:val="24"/>
          <w:lang w:val="en-US"/>
        </w:rPr>
        <w:t>C</w:t>
      </w:r>
      <w:r w:rsidRPr="000052B1">
        <w:rPr>
          <w:rFonts w:ascii="Bookman Old Style" w:hAnsi="Bookman Old Style" w:cs="TimesNewRomanPSMT"/>
          <w:i/>
          <w:sz w:val="24"/>
          <w:szCs w:val="24"/>
        </w:rPr>
        <w:t xml:space="preserve">-446/98, </w:t>
      </w:r>
      <w:r w:rsidR="009A18B6" w:rsidRPr="000052B1">
        <w:rPr>
          <w:rFonts w:ascii="Bookman Old Style" w:hAnsi="Bookman Old Style" w:cs="TimesNewRomanPSMT"/>
          <w:i/>
          <w:sz w:val="24"/>
          <w:szCs w:val="24"/>
          <w:lang w:val="en-US"/>
        </w:rPr>
        <w:t>no</w:t>
      </w:r>
      <w:r w:rsidRPr="000052B1">
        <w:rPr>
          <w:rFonts w:ascii="Bookman Old Style" w:hAnsi="Bookman Old Style" w:cs="TimesNewRomanPSMT"/>
          <w:i/>
          <w:sz w:val="24"/>
          <w:szCs w:val="24"/>
        </w:rPr>
        <w:t xml:space="preserve"> 4</w:t>
      </w:r>
      <w:r w:rsidR="009A18B6" w:rsidRPr="000052B1">
        <w:rPr>
          <w:rFonts w:ascii="Bookman Old Style" w:hAnsi="Bookman Old Style" w:cs="TimesNewRomanPSMT"/>
          <w:i/>
          <w:sz w:val="24"/>
          <w:szCs w:val="24"/>
        </w:rPr>
        <w:t>9</w:t>
      </w:r>
      <w:r w:rsidRPr="000052B1">
        <w:rPr>
          <w:rFonts w:ascii="Bookman Old Style" w:hAnsi="Bookman Old Style" w:cs="TimesNewRomanPSMT"/>
          <w:i/>
          <w:sz w:val="24"/>
          <w:szCs w:val="24"/>
        </w:rPr>
        <w:t xml:space="preserve">). Για να διασφαλίσει την ενότητα της εφαρμογής του Ευρωπαϊκού Δικαίου, το ΔΕΕ, το οποίο ιδρύθηκε από τα Κράτη-Μέλη για τον σκοπό αυτό, είναι αποκλειστικώς αρμόδιο προκειμένου να διαπιστώσει ότι μια πράξη ενός θεσμικού οργάνου της Ευρωπαϊκής Ένωσης είναι αντίθετη με το Ευρωπαϊκό Δίκαιο. </w:t>
      </w:r>
      <w:r w:rsidR="006C399A" w:rsidRPr="000052B1">
        <w:rPr>
          <w:rFonts w:ascii="Bookman Old Style" w:hAnsi="Bookman Old Style" w:cs="TimesNewRomanPSMT"/>
          <w:i/>
          <w:sz w:val="24"/>
          <w:szCs w:val="24"/>
        </w:rPr>
        <w:t xml:space="preserve"> Διαφοροποιήσεις</w:t>
      </w:r>
      <w:r w:rsidR="009A18B6" w:rsidRPr="000052B1">
        <w:rPr>
          <w:rFonts w:ascii="Bookman Old Style" w:hAnsi="Bookman Old Style" w:cs="TimesNewRomanPSMT"/>
          <w:i/>
          <w:sz w:val="24"/>
          <w:szCs w:val="24"/>
        </w:rPr>
        <w:t>,</w:t>
      </w:r>
      <w:r w:rsidR="006C399A" w:rsidRPr="000052B1">
        <w:rPr>
          <w:rFonts w:ascii="Bookman Old Style" w:hAnsi="Bookman Old Style" w:cs="TimesNewRomanPSMT"/>
          <w:i/>
          <w:sz w:val="24"/>
          <w:szCs w:val="24"/>
        </w:rPr>
        <w:t xml:space="preserve"> μεταξύ των Εθνικών Δικαστηρίων</w:t>
      </w:r>
      <w:r w:rsidR="009A18B6" w:rsidRPr="000052B1">
        <w:rPr>
          <w:rFonts w:ascii="Bookman Old Style" w:hAnsi="Bookman Old Style" w:cs="TimesNewRomanPSMT"/>
          <w:i/>
          <w:sz w:val="24"/>
          <w:szCs w:val="24"/>
        </w:rPr>
        <w:t>,</w:t>
      </w:r>
      <w:r w:rsidR="006C399A" w:rsidRPr="000052B1">
        <w:rPr>
          <w:rFonts w:ascii="Bookman Old Style" w:hAnsi="Bookman Old Style" w:cs="TimesNewRomanPSMT"/>
          <w:i/>
          <w:sz w:val="24"/>
          <w:szCs w:val="24"/>
        </w:rPr>
        <w:t xml:space="preserve"> ως προς το κύρος τέτοιων πράξεων θα μπορούσαν να θέσουν σε κίνδυνο την Έννομη Τάξη της Ευρωπαϊκής Ένωσης και να πλήξουν την ασφάλεια δικαίου (απόφαση του ΔΕΕ της 22.10.1987, </w:t>
      </w:r>
      <w:r w:rsidR="0078349E" w:rsidRPr="000052B1">
        <w:rPr>
          <w:rFonts w:ascii="Bookman Old Style" w:hAnsi="Bookman Old Style" w:cs="TimesNewRomanPSMT"/>
          <w:i/>
          <w:sz w:val="24"/>
          <w:szCs w:val="24"/>
          <w:lang w:val="en-US"/>
        </w:rPr>
        <w:t>Foto</w:t>
      </w:r>
      <w:r w:rsidR="0078349E" w:rsidRPr="000052B1">
        <w:rPr>
          <w:rFonts w:ascii="Bookman Old Style" w:hAnsi="Bookman Old Style" w:cs="TimesNewRomanPSMT"/>
          <w:i/>
          <w:sz w:val="24"/>
          <w:szCs w:val="24"/>
        </w:rPr>
        <w:t>-</w:t>
      </w:r>
      <w:r w:rsidR="0078349E" w:rsidRPr="000052B1">
        <w:rPr>
          <w:rFonts w:ascii="Bookman Old Style" w:hAnsi="Bookman Old Style" w:cs="TimesNewRomanPSMT"/>
          <w:i/>
          <w:sz w:val="24"/>
          <w:szCs w:val="24"/>
          <w:lang w:val="en-US"/>
        </w:rPr>
        <w:t>Frost</w:t>
      </w:r>
      <w:r w:rsidR="0078349E" w:rsidRPr="000052B1">
        <w:rPr>
          <w:rFonts w:ascii="Bookman Old Style" w:hAnsi="Bookman Old Style" w:cs="TimesNewRomanPSMT"/>
          <w:i/>
          <w:sz w:val="24"/>
          <w:szCs w:val="24"/>
        </w:rPr>
        <w:t xml:space="preserve"> </w:t>
      </w:r>
      <w:r w:rsidR="0078349E" w:rsidRPr="000052B1">
        <w:rPr>
          <w:rFonts w:ascii="Bookman Old Style" w:hAnsi="Bookman Old Style" w:cs="TimesNewRomanPSMT"/>
          <w:i/>
          <w:sz w:val="24"/>
          <w:szCs w:val="24"/>
          <w:lang w:val="en-US"/>
        </w:rPr>
        <w:t>C</w:t>
      </w:r>
      <w:r w:rsidR="0078349E" w:rsidRPr="000052B1">
        <w:rPr>
          <w:rFonts w:ascii="Bookman Old Style" w:hAnsi="Bookman Old Style" w:cs="TimesNewRomanPSMT"/>
          <w:i/>
          <w:sz w:val="24"/>
          <w:szCs w:val="24"/>
        </w:rPr>
        <w:t xml:space="preserve">-314/85 </w:t>
      </w:r>
      <w:r w:rsidR="009A18B6" w:rsidRPr="000052B1">
        <w:rPr>
          <w:rFonts w:ascii="Bookman Old Style" w:hAnsi="Bookman Old Style" w:cs="TimesNewRomanPSMT"/>
          <w:i/>
          <w:sz w:val="24"/>
          <w:szCs w:val="24"/>
          <w:lang w:val="en-US"/>
        </w:rPr>
        <w:t>no</w:t>
      </w:r>
      <w:r w:rsidR="0078349E" w:rsidRPr="000052B1">
        <w:rPr>
          <w:rFonts w:ascii="Bookman Old Style" w:hAnsi="Bookman Old Style" w:cs="TimesNewRomanPSMT"/>
          <w:i/>
          <w:sz w:val="24"/>
          <w:szCs w:val="24"/>
        </w:rPr>
        <w:t xml:space="preserve"> 15 και 17).  Όπως όλες οι άλλες αρχές των Κρατών-Μελών, έτσι και τα Εθνικά Δικαστήρια υποχρεούνται να εγγυώνται την πλήρη ισχύ και εφαρμογή του Ευρωπαϊκού Δικαίου (απόφαση του ΔΕΕ της 4.7.2006, </w:t>
      </w:r>
      <w:r w:rsidR="0078349E" w:rsidRPr="000052B1">
        <w:rPr>
          <w:rFonts w:ascii="Bookman Old Style" w:hAnsi="Bookman Old Style" w:cs="TimesNewRomanPSMT"/>
          <w:i/>
          <w:sz w:val="24"/>
          <w:szCs w:val="24"/>
          <w:lang w:val="en-US"/>
        </w:rPr>
        <w:t>Adeneler</w:t>
      </w:r>
      <w:r w:rsidR="0078349E" w:rsidRPr="000052B1">
        <w:rPr>
          <w:rFonts w:ascii="Bookman Old Style" w:hAnsi="Bookman Old Style" w:cs="TimesNewRomanPSMT"/>
          <w:i/>
          <w:sz w:val="24"/>
          <w:szCs w:val="24"/>
        </w:rPr>
        <w:t xml:space="preserve"> </w:t>
      </w:r>
      <w:r w:rsidR="0078349E" w:rsidRPr="000052B1">
        <w:rPr>
          <w:rFonts w:ascii="Bookman Old Style" w:hAnsi="Bookman Old Style" w:cs="TimesNewRomanPSMT"/>
          <w:i/>
          <w:sz w:val="24"/>
          <w:szCs w:val="24"/>
          <w:lang w:val="en-US"/>
        </w:rPr>
        <w:t>e</w:t>
      </w:r>
      <w:r w:rsidR="0078349E" w:rsidRPr="000052B1">
        <w:rPr>
          <w:rFonts w:ascii="Bookman Old Style" w:hAnsi="Bookman Old Style" w:cs="TimesNewRomanPSMT"/>
          <w:i/>
          <w:sz w:val="24"/>
          <w:szCs w:val="24"/>
        </w:rPr>
        <w:t>.</w:t>
      </w:r>
      <w:r w:rsidR="0078349E" w:rsidRPr="000052B1">
        <w:rPr>
          <w:rFonts w:ascii="Bookman Old Style" w:hAnsi="Bookman Old Style" w:cs="TimesNewRomanPSMT"/>
          <w:i/>
          <w:sz w:val="24"/>
          <w:szCs w:val="24"/>
          <w:lang w:val="en-US"/>
        </w:rPr>
        <w:t>a</w:t>
      </w:r>
      <w:r w:rsidR="0078349E" w:rsidRPr="000052B1">
        <w:rPr>
          <w:rFonts w:ascii="Bookman Old Style" w:hAnsi="Bookman Old Style" w:cs="TimesNewRomanPSMT"/>
          <w:i/>
          <w:sz w:val="24"/>
          <w:szCs w:val="24"/>
        </w:rPr>
        <w:t xml:space="preserve">., </w:t>
      </w:r>
      <w:r w:rsidR="0078349E" w:rsidRPr="000052B1">
        <w:rPr>
          <w:rFonts w:ascii="Bookman Old Style" w:hAnsi="Bookman Old Style" w:cs="TimesNewRomanPSMT"/>
          <w:i/>
          <w:sz w:val="24"/>
          <w:szCs w:val="24"/>
          <w:lang w:val="en-US"/>
        </w:rPr>
        <w:t>C</w:t>
      </w:r>
      <w:r w:rsidR="0078349E" w:rsidRPr="000052B1">
        <w:rPr>
          <w:rFonts w:ascii="Bookman Old Style" w:hAnsi="Bookman Old Style" w:cs="TimesNewRomanPSMT"/>
          <w:i/>
          <w:sz w:val="24"/>
          <w:szCs w:val="24"/>
        </w:rPr>
        <w:t xml:space="preserve">-219/04, </w:t>
      </w:r>
      <w:r w:rsidR="0078349E" w:rsidRPr="000052B1">
        <w:rPr>
          <w:rFonts w:ascii="Bookman Old Style" w:hAnsi="Bookman Old Style" w:cs="TimesNewRomanPSMT"/>
          <w:i/>
          <w:sz w:val="24"/>
          <w:szCs w:val="24"/>
          <w:lang w:val="en-US"/>
        </w:rPr>
        <w:t>no</w:t>
      </w:r>
      <w:r w:rsidR="0078349E" w:rsidRPr="000052B1">
        <w:rPr>
          <w:rFonts w:ascii="Bookman Old Style" w:hAnsi="Bookman Old Style" w:cs="TimesNewRomanPSMT"/>
          <w:i/>
          <w:sz w:val="24"/>
          <w:szCs w:val="24"/>
        </w:rPr>
        <w:t xml:space="preserve"> 122). Μόνο με αυτό τον τρόπο μπορεί να διασφαλισθεί η ισότητα των Κρατών-Μελών μέσα από την Ένωση, η οποία δημιουργήθηκε από αυτά</w:t>
      </w:r>
      <w:r w:rsidR="0078349E">
        <w:rPr>
          <w:rFonts w:ascii="Bookman Old Style" w:hAnsi="Bookman Old Style" w:cs="TimesNewRomanPSMT"/>
          <w:sz w:val="24"/>
          <w:szCs w:val="24"/>
        </w:rPr>
        <w:t xml:space="preserve">». </w:t>
      </w:r>
    </w:p>
    <w:p w:rsidR="009830AA" w:rsidRDefault="009830AA" w:rsidP="00303AFA">
      <w:pPr>
        <w:spacing w:before="240" w:line="360" w:lineRule="auto"/>
        <w:ind w:left="567" w:hanging="283"/>
        <w:jc w:val="both"/>
        <w:rPr>
          <w:rFonts w:ascii="Bookman Old Style" w:hAnsi="Bookman Old Style" w:cs="TimesNewRomanPSMT"/>
          <w:b/>
          <w:sz w:val="24"/>
          <w:szCs w:val="24"/>
        </w:rPr>
      </w:pPr>
      <w:r>
        <w:rPr>
          <w:rFonts w:ascii="Bookman Old Style" w:hAnsi="Bookman Old Style" w:cs="TimesNewRomanPSMT"/>
          <w:b/>
          <w:sz w:val="24"/>
          <w:szCs w:val="24"/>
        </w:rPr>
        <w:t>1. Γιατί το ΔΕΕ έπρεπε να είχε διαγνώσει τα «πρόδρομα» συμπτώματα της κρίσης.</w:t>
      </w:r>
    </w:p>
    <w:p w:rsidR="009830AA" w:rsidRDefault="009830AA" w:rsidP="00303AFA">
      <w:pPr>
        <w:spacing w:before="240" w:line="360" w:lineRule="auto"/>
        <w:ind w:left="567"/>
        <w:jc w:val="both"/>
        <w:rPr>
          <w:rFonts w:ascii="Bookman Old Style" w:hAnsi="Bookman Old Style" w:cs="TimesNewRomanPSMT"/>
          <w:sz w:val="24"/>
          <w:szCs w:val="24"/>
        </w:rPr>
      </w:pPr>
      <w:r>
        <w:rPr>
          <w:rFonts w:ascii="Bookman Old Style" w:hAnsi="Bookman Old Style" w:cs="TimesNewRomanPSMT"/>
          <w:sz w:val="24"/>
          <w:szCs w:val="24"/>
        </w:rPr>
        <w:lastRenderedPageBreak/>
        <w:t>Κατ’ αρχάς</w:t>
      </w:r>
      <w:r w:rsidR="00B5346F">
        <w:rPr>
          <w:rFonts w:ascii="Bookman Old Style" w:hAnsi="Bookman Old Style" w:cs="TimesNewRomanPSMT"/>
          <w:sz w:val="24"/>
          <w:szCs w:val="24"/>
        </w:rPr>
        <w:t>,</w:t>
      </w:r>
      <w:r>
        <w:rPr>
          <w:rFonts w:ascii="Bookman Old Style" w:hAnsi="Bookman Old Style" w:cs="TimesNewRomanPSMT"/>
          <w:sz w:val="24"/>
          <w:szCs w:val="24"/>
        </w:rPr>
        <w:t xml:space="preserve"> ε</w:t>
      </w:r>
      <w:r w:rsidR="00A9110C">
        <w:rPr>
          <w:rFonts w:ascii="Bookman Old Style" w:hAnsi="Bookman Old Style" w:cs="TimesNewRomanPSMT"/>
          <w:sz w:val="24"/>
          <w:szCs w:val="24"/>
        </w:rPr>
        <w:t>ίναι προφανές ότι αυτές οι «ευχές» και οι «παρ</w:t>
      </w:r>
      <w:r w:rsidR="00687EF1">
        <w:rPr>
          <w:rFonts w:ascii="Bookman Old Style" w:hAnsi="Bookman Old Style" w:cs="TimesNewRomanPSMT"/>
          <w:sz w:val="24"/>
          <w:szCs w:val="24"/>
        </w:rPr>
        <w:t>αι</w:t>
      </w:r>
      <w:r w:rsidR="00A9110C">
        <w:rPr>
          <w:rFonts w:ascii="Bookman Old Style" w:hAnsi="Bookman Old Style" w:cs="TimesNewRomanPSMT"/>
          <w:sz w:val="24"/>
          <w:szCs w:val="24"/>
        </w:rPr>
        <w:t xml:space="preserve">νέσεις» του ΔΕΕ -και άλλες παρεμφερείς από άλλα όργανα της Ευρωπαϊκής Ένωσης- κάθε άλλο παρά επαρκείς είναι για να κάμψουν θέσεις όπως εκείνες του Ομοσπονδιακού Συνταγματικού Δικαστηρίου της Γερμανίας, </w:t>
      </w:r>
      <w:r w:rsidR="009A18B6">
        <w:rPr>
          <w:rFonts w:ascii="Bookman Old Style" w:hAnsi="Bookman Old Style" w:cs="TimesNewRomanPSMT"/>
          <w:sz w:val="24"/>
          <w:szCs w:val="24"/>
        </w:rPr>
        <w:t>αφού</w:t>
      </w:r>
      <w:r w:rsidR="00A9110C">
        <w:rPr>
          <w:rFonts w:ascii="Bookman Old Style" w:hAnsi="Bookman Old Style" w:cs="TimesNewRomanPSMT"/>
          <w:sz w:val="24"/>
          <w:szCs w:val="24"/>
        </w:rPr>
        <w:t xml:space="preserve"> η βασική αιτία της νομικής διένεξης ως προς τις σχέσεις </w:t>
      </w:r>
      <w:r w:rsidR="00B5346F">
        <w:rPr>
          <w:rFonts w:ascii="Bookman Old Style" w:hAnsi="Bookman Old Style" w:cs="TimesNewRomanPSMT"/>
          <w:sz w:val="24"/>
          <w:szCs w:val="24"/>
        </w:rPr>
        <w:t xml:space="preserve">μεταξύ </w:t>
      </w:r>
      <w:r w:rsidR="00A9110C">
        <w:rPr>
          <w:rFonts w:ascii="Bookman Old Style" w:hAnsi="Bookman Old Style" w:cs="TimesNewRomanPSMT"/>
          <w:sz w:val="24"/>
          <w:szCs w:val="24"/>
        </w:rPr>
        <w:t>του Ευρωπαϊκού και του Εθνικού Δικαίου βρίσκ</w:t>
      </w:r>
      <w:r w:rsidR="009A18B6">
        <w:rPr>
          <w:rFonts w:ascii="Bookman Old Style" w:hAnsi="Bookman Old Style" w:cs="TimesNewRomanPSMT"/>
          <w:sz w:val="24"/>
          <w:szCs w:val="24"/>
        </w:rPr>
        <w:t>ε</w:t>
      </w:r>
      <w:r w:rsidR="00A9110C">
        <w:rPr>
          <w:rFonts w:ascii="Bookman Old Style" w:hAnsi="Bookman Old Style" w:cs="TimesNewRomanPSMT"/>
          <w:sz w:val="24"/>
          <w:szCs w:val="24"/>
        </w:rPr>
        <w:t xml:space="preserve">ται αλλού και έχει πολύ βαθιές θεσμικές ρίζες.  </w:t>
      </w:r>
    </w:p>
    <w:p w:rsidR="009830AA" w:rsidRDefault="009830AA" w:rsidP="00303AFA">
      <w:pPr>
        <w:spacing w:before="240" w:line="360" w:lineRule="auto"/>
        <w:ind w:left="851" w:hanging="284"/>
        <w:jc w:val="both"/>
        <w:rPr>
          <w:rFonts w:ascii="Bookman Old Style" w:hAnsi="Bookman Old Style"/>
          <w:b/>
          <w:sz w:val="24"/>
          <w:szCs w:val="24"/>
        </w:rPr>
      </w:pPr>
      <w:r>
        <w:rPr>
          <w:rFonts w:ascii="Bookman Old Style" w:hAnsi="Bookman Old Style" w:cs="TimesNewRomanPSMT"/>
          <w:b/>
          <w:sz w:val="24"/>
          <w:szCs w:val="24"/>
        </w:rPr>
        <w:t xml:space="preserve">α) </w:t>
      </w:r>
      <w:r w:rsidR="00A9110C">
        <w:rPr>
          <w:rFonts w:ascii="Bookman Old Style" w:hAnsi="Bookman Old Style" w:cs="TimesNewRomanPSMT"/>
          <w:sz w:val="24"/>
          <w:szCs w:val="24"/>
        </w:rPr>
        <w:t>Παραπέμπω, ως προς την αιτία αυτή, στις σκέψεις που έχω διατυπώσει σε άρθρο μου, το οποίο δημοσιεύθηκε στο περιοδικό «Διοικητική Δίκη</w:t>
      </w:r>
      <w:r w:rsidR="00255FEE">
        <w:rPr>
          <w:rFonts w:ascii="Bookman Old Style" w:hAnsi="Bookman Old Style" w:cs="TimesNewRomanPSMT"/>
          <w:sz w:val="24"/>
          <w:szCs w:val="24"/>
        </w:rPr>
        <w:t>»</w:t>
      </w:r>
      <w:r w:rsidR="00A9110C">
        <w:rPr>
          <w:rFonts w:ascii="Bookman Old Style" w:hAnsi="Bookman Old Style" w:cs="TimesNewRomanPSMT"/>
          <w:sz w:val="24"/>
          <w:szCs w:val="24"/>
        </w:rPr>
        <w:t xml:space="preserve"> (τ.2, 2017, σελ. 164 επ.), αναφορικά με την ιεραρχία των κανόνων δικαίου: </w:t>
      </w:r>
      <w:r w:rsidR="009A18B6">
        <w:rPr>
          <w:rFonts w:ascii="Bookman Old Style" w:hAnsi="Bookman Old Style"/>
          <w:b/>
          <w:sz w:val="24"/>
          <w:szCs w:val="24"/>
        </w:rPr>
        <w:t xml:space="preserve"> </w:t>
      </w:r>
    </w:p>
    <w:p w:rsidR="00A9110C" w:rsidRDefault="009830AA" w:rsidP="00303AFA">
      <w:pPr>
        <w:spacing w:before="240" w:line="360" w:lineRule="auto"/>
        <w:ind w:left="1134" w:hanging="283"/>
        <w:jc w:val="both"/>
        <w:rPr>
          <w:rFonts w:ascii="Bookman Old Style" w:hAnsi="Bookman Old Style"/>
          <w:sz w:val="24"/>
          <w:szCs w:val="24"/>
        </w:rPr>
      </w:pPr>
      <w:r w:rsidRPr="009830AA">
        <w:rPr>
          <w:rFonts w:ascii="Bookman Old Style" w:hAnsi="Bookman Old Style" w:cs="TimesNewRomanPSMT"/>
          <w:b/>
          <w:sz w:val="24"/>
          <w:szCs w:val="24"/>
        </w:rPr>
        <w:t>α1)</w:t>
      </w:r>
      <w:r w:rsidR="00A9110C">
        <w:rPr>
          <w:rFonts w:ascii="Bookman Old Style" w:hAnsi="Bookman Old Style"/>
          <w:sz w:val="24"/>
          <w:szCs w:val="24"/>
        </w:rPr>
        <w:t>«</w:t>
      </w:r>
      <w:r w:rsidR="00A9110C" w:rsidRPr="00A9110C">
        <w:rPr>
          <w:rFonts w:ascii="Bookman Old Style" w:hAnsi="Bookman Old Style"/>
          <w:i/>
          <w:sz w:val="24"/>
          <w:szCs w:val="24"/>
        </w:rPr>
        <w:t xml:space="preserve">Στην κορυφή -αλλά και, κατά θεσμική λογική, στην βάση- της έννομης τάξης βρίσκεται το Σύνταγμα, ως «Θεμελιώδης Νόμος» στήριξής της και οργάνωσης των εν γένει πολιτικών θεσμών. Η κανονιστική ιδιομορφία του Συντάγματος, ως «κανόνα δικαίου-γενάρχη» της όλης έννομης τάξης, οδηγεί, αναποτρέπτως, στην καθολική και αδιάστικτη υπεροχή του εντός της εσωτερικής έννομης τάξης. Συγκεκριμένα το Σύνταγμα, ως θεμελιώδης νόμος αποτελούμενος όχι μόνον από τους κανόνες δικαίου που περιλαμβάνει αλλά και από τις γενικές αρχές οι οποίες συνάγονται από αυτούς, υπερισχύει αναποδράστως κάθε άλλου κανόνα δικαίου. Είτε αυτός εντάσσεται στο εσωτερικό δίκαιο είτε στους κανόνες του διεθνούς δικαίου, όπως ενσωματώνονται κάθε φορά στην έννομη τάξη μας. </w:t>
      </w:r>
      <w:r w:rsidR="00A9110C" w:rsidRPr="00A9110C">
        <w:rPr>
          <w:rFonts w:ascii="Bookman Old Style" w:hAnsi="Bookman Old Style"/>
          <w:b/>
          <w:i/>
          <w:sz w:val="24"/>
          <w:szCs w:val="24"/>
        </w:rPr>
        <w:t xml:space="preserve"> </w:t>
      </w:r>
      <w:r w:rsidR="00A9110C" w:rsidRPr="00A9110C">
        <w:rPr>
          <w:rFonts w:ascii="Bookman Old Style" w:hAnsi="Bookman Old Style"/>
          <w:i/>
          <w:sz w:val="24"/>
          <w:szCs w:val="24"/>
        </w:rPr>
        <w:t>Ιδιαίτερα διαφωτιστική αυτής της νομικής λογικής είναι η νομολογία που διαμόρφωσε η απόφαση (παραπεμπτική) του Συμβουλίου της Επικρατείας 3242/2004</w:t>
      </w:r>
      <w:r w:rsidR="00A9110C" w:rsidRPr="00A9110C">
        <w:rPr>
          <w:rFonts w:ascii="Bookman Old Style" w:hAnsi="Bookman Old Style"/>
          <w:b/>
          <w:i/>
          <w:sz w:val="24"/>
          <w:szCs w:val="24"/>
        </w:rPr>
        <w:t xml:space="preserve"> </w:t>
      </w:r>
      <w:r w:rsidR="00A9110C" w:rsidRPr="00A9110C">
        <w:rPr>
          <w:rFonts w:ascii="Bookman Old Style" w:hAnsi="Bookman Old Style"/>
          <w:i/>
          <w:sz w:val="24"/>
          <w:szCs w:val="24"/>
        </w:rPr>
        <w:t>με την οποία κρίθηκε, κατά πλειοψηφία, ότι  δεν νοείται, σε καμία περίπτωση, διατύπωση προδικαστικού ερωτήματος προς το Δικαστήριο της Ευρωπαϊκής Ένωσης (ΔΕΕ), προκειμένου να διαπιστωθεί αν διάταξη επιτακτικού χαρακτήρα του Συντάγματος είναι συμβατή κατά το περιεχόμενο της ρύθμισής της με διάταξη του πρωτογενούς ή του παράγωγου ευρωπαϊκο</w:t>
      </w:r>
      <w:r w:rsidR="002A1BDF">
        <w:rPr>
          <w:rFonts w:ascii="Bookman Old Style" w:hAnsi="Bookman Old Style"/>
          <w:i/>
          <w:sz w:val="24"/>
          <w:szCs w:val="24"/>
        </w:rPr>
        <w:t>ύ</w:t>
      </w:r>
      <w:r w:rsidR="00A9110C" w:rsidRPr="00A9110C">
        <w:rPr>
          <w:rFonts w:ascii="Bookman Old Style" w:hAnsi="Bookman Old Style"/>
          <w:i/>
          <w:sz w:val="24"/>
          <w:szCs w:val="24"/>
        </w:rPr>
        <w:t xml:space="preserve"> δικαίου  (πρβλ. </w:t>
      </w:r>
      <w:r w:rsidR="00A9110C" w:rsidRPr="00A9110C">
        <w:rPr>
          <w:rFonts w:ascii="Bookman Old Style" w:hAnsi="Bookman Old Style"/>
          <w:i/>
          <w:sz w:val="24"/>
          <w:szCs w:val="24"/>
        </w:rPr>
        <w:lastRenderedPageBreak/>
        <w:t>όμως και τις αποφάσεις ΣτΕ (Ολ.) 3670/2006, 3470/2011).</w:t>
      </w:r>
      <w:r w:rsidR="00A9110C" w:rsidRPr="00A9110C">
        <w:rPr>
          <w:rFonts w:ascii="Bookman Old Style" w:hAnsi="Bookman Old Style"/>
          <w:b/>
          <w:i/>
          <w:sz w:val="24"/>
          <w:szCs w:val="24"/>
        </w:rPr>
        <w:t xml:space="preserve"> </w:t>
      </w:r>
      <w:r w:rsidR="00A9110C" w:rsidRPr="00A9110C">
        <w:rPr>
          <w:rFonts w:ascii="Bookman Old Style" w:hAnsi="Bookman Old Style"/>
          <w:i/>
          <w:sz w:val="24"/>
          <w:szCs w:val="24"/>
        </w:rPr>
        <w:t xml:space="preserve">Ως προς τον «σκεπτικισμό» που ορισμένοι εκφράζουν σε ό,τι αφορά την σχέση μεταξύ Συντάγματος και Ευρωπαϊκού Δικαίου επισημαίνεται τούτο: Είναι λάθος, όσο η Ευρωπαϊκή Ένωση δεν έχει προχωρήσει στο σημείο εκείνο πολιτειακής οργάνωσης που θα της επέτρεπε να διαθέτει πραγματικά ενιαίο συνταγματικό θεμέλιο, να επιχειρούν μια τέτοια σύγκριση και να θέτουν εν αμφιβόλω την υπεροχή του Συντάγματος. Έχοντας, προς το παρόν, δύο παράλληλες έννομες τάξεις -εκείνη των κρατών-μελών και εκείνη της Ευρωπαϊκής Ένωσης- με βάση την κοινή νομική λογική οφείλουμε να δεχθούμε πως η άποψη των Ευρωπαϊκών οργάνων, και ιδίως του Δικαστηρίου της Ευρωπαϊκής Ένωσης, κατά την οποία θεμέλιο της Ευρωπαϊκής έννομης τάξης είναι το Ευρωπαϊκό Δίκαιο, πρωτογενές και παράγωγο (βλ. τις «ιστορικές» αποφάσεις 15.7.1964, Costa c. ENEL, 17.12.1970, Internationale Handelsgesellschaft, 9.3.1978, Simmenthal), ουδόλως επιδρά στην υποχρέωση που έχουν τα όργανα των κρατών-μελών -άρα και της Ελλάδας- να θέτουν ως αντίστοιχο θεμέλιο των επιμέρους έννομων τάξεων το Σύνταγμά τους. Οιαδήποτε άλλη εκδοχή -ακόμη και με ρητή συνταγματική πρόβλεψη που, βεβαίως, δεν συντρέχει κατά το Σύνταγμά μας- με βάση επίσης την κοινή νομική λογική αγνοεί την φύση του κανόνα δικαίου ως μέσου ρύθμισης της πολιτειακής οργάνωσης και των κοινωνικών και οικονομικών σχέσεων. Δηλαδή, σε τελική ανάλυση, αγνοεί την πεμπτουσία του Συντάγματος. Διότι αν υποθέσουμε, π.χ., στο πλαίσιο της έννομης τάξης μας ότι συντρέχει υπεροχή του Ευρωπαϊκού Δικαίου έναντι του Συντάγματος, αυτό θα σήμαινε ότι μια τέτοια υπεροχή προβλέφθηκε, κατά κάποιον τρόπο, από το ίδιο το Σύνταγμα κατά την στιγμή εισόδου της Χώρας στην Ευρωπαϊκή Ένωση, άλλοτε ΕΟΚ. Με τι είδους νομικό συλλογισμό, όμως, ένας κανόνας δικαίου -άρα και το Σύνταγμα- θ' αναγνώριζε σ' άλλον κανόνα δικαίου μεγαλύτερη κανονιστική ισχύ από εκείνη που ο ίδιος διαθέτει, ως θεσμικό προϊόν της Εθνικής Κυριαρχίας; Οι </w:t>
      </w:r>
      <w:r w:rsidR="00A9110C" w:rsidRPr="00A9110C">
        <w:rPr>
          <w:rFonts w:ascii="Bookman Old Style" w:hAnsi="Bookman Old Style"/>
          <w:i/>
          <w:sz w:val="24"/>
          <w:szCs w:val="24"/>
        </w:rPr>
        <w:lastRenderedPageBreak/>
        <w:t>υποστηρικτές του αντιθέτου παραβλέπουν ότι, σύμφωνα με την νομική ιδιοσυστασία του κανόνα δικαίου, ισχύει και γι' αυτόν, mutatis mutandis, η θεμελιώδης αρχή του ρωμαϊκού δικαίου «nemo plus juris ad allium transfere potest quam ipse habet</w:t>
      </w:r>
      <w:r w:rsidR="00A9110C" w:rsidRPr="002A454C">
        <w:rPr>
          <w:rFonts w:ascii="Bookman Old Style" w:hAnsi="Bookman Old Style"/>
          <w:sz w:val="24"/>
          <w:szCs w:val="24"/>
        </w:rPr>
        <w:t xml:space="preserve">». </w:t>
      </w:r>
    </w:p>
    <w:p w:rsidR="002018C0" w:rsidRDefault="002018C0" w:rsidP="00303AFA">
      <w:pPr>
        <w:spacing w:before="240" w:line="360" w:lineRule="auto"/>
        <w:ind w:left="1134" w:hanging="283"/>
        <w:jc w:val="both"/>
        <w:rPr>
          <w:rFonts w:ascii="Bookman Old Style" w:hAnsi="Bookman Old Style" w:cs="TimesNewRomanPSMT"/>
          <w:sz w:val="24"/>
          <w:szCs w:val="24"/>
        </w:rPr>
      </w:pPr>
      <w:r>
        <w:rPr>
          <w:rFonts w:ascii="Bookman Old Style" w:hAnsi="Bookman Old Style" w:cs="TimesNewRomanPSMT"/>
          <w:b/>
          <w:sz w:val="24"/>
          <w:szCs w:val="24"/>
        </w:rPr>
        <w:t xml:space="preserve">α2) </w:t>
      </w:r>
      <w:r>
        <w:rPr>
          <w:rFonts w:ascii="Bookman Old Style" w:hAnsi="Bookman Old Style" w:cs="TimesNewRomanPSMT"/>
          <w:sz w:val="24"/>
          <w:szCs w:val="24"/>
        </w:rPr>
        <w:t>Πέραν τούτων, το ΔΕΕ είχε -και έχει πάντοτε- προ οφθαλμών την πραγματικότητα ότι η υπεροχή του Ευρωπαϊκού Δικαίου έναντι των Εθνικών Συνταγμάτων αμφισβητείται, όχι μόνο σ’ επίπεδο θεωρίας αλλά και σ’ επίπεδο νομολογίας των Εθνικών Δικαστηρίων, και ιδίως των Ανώτατων.  Σε σημείο, μάλιστα, ώστε να συνάγεται, κατά τρόπο τεκμηριωμένο, το συμπέρασμα πως στο νομολογιακό αυτό πεδίο ο κανόνας είναι η αμφισβήτηση, ενώ εξαίρεση αποτελεί η εκ μέρους των Εθνικών Δικαστηρίων ευθεία αναγνώριση της ως άνω υπεροχής του Ευρωπαϊκού Δικαίου.  Επομένως, η νομολογία -και δη εδώ και αρκετά χρόνια- του Ομοσπονδιακού Συνταγματικού Δικαστηρίου της Γερμανίας, για την οποία έγινε λόγος προηγουμένως, δεν είναι παρά η «κορυφή του παγόβουνου».  Δύο, και μόνο, παραδείγματα αρκούν, εν προκειμένω, για να βεβαιώσουν «του λόγου το ασφαλές» ως προς αυτή την αμφισβήτηση της υπεροχής του Ευρωπαϊκού Δικαίου μέσω ενός είδους «</w:t>
      </w:r>
      <w:r w:rsidR="00B5346F">
        <w:rPr>
          <w:rFonts w:ascii="Bookman Old Style" w:hAnsi="Bookman Old Style" w:cs="TimesNewRomanPSMT"/>
          <w:sz w:val="24"/>
          <w:szCs w:val="24"/>
        </w:rPr>
        <w:t>διπλωματικής δικαστικής</w:t>
      </w:r>
      <w:r>
        <w:rPr>
          <w:rFonts w:ascii="Bookman Old Style" w:hAnsi="Bookman Old Style" w:cs="TimesNewRomanPSMT"/>
          <w:sz w:val="24"/>
          <w:szCs w:val="24"/>
        </w:rPr>
        <w:t xml:space="preserve"> επιφύλαξης»:</w:t>
      </w:r>
    </w:p>
    <w:p w:rsidR="00182135" w:rsidRDefault="002018C0" w:rsidP="00303AFA">
      <w:pPr>
        <w:pStyle w:val="2"/>
        <w:numPr>
          <w:ilvl w:val="0"/>
          <w:numId w:val="12"/>
        </w:numPr>
        <w:spacing w:before="240" w:line="360" w:lineRule="auto"/>
        <w:ind w:left="1418" w:hanging="284"/>
        <w:jc w:val="both"/>
        <w:rPr>
          <w:rFonts w:ascii="Bookman Old Style" w:hAnsi="Bookman Old Style"/>
          <w:sz w:val="24"/>
          <w:szCs w:val="24"/>
          <w:lang w:val="el-GR"/>
        </w:rPr>
      </w:pPr>
      <w:r>
        <w:rPr>
          <w:rFonts w:ascii="Bookman Old Style" w:hAnsi="Bookman Old Style"/>
          <w:b/>
          <w:sz w:val="24"/>
          <w:szCs w:val="24"/>
          <w:lang w:val="el-GR"/>
        </w:rPr>
        <w:t>Παράδειγμα πρώτο</w:t>
      </w:r>
      <w:r w:rsidRPr="00DB0B61">
        <w:rPr>
          <w:rFonts w:ascii="Bookman Old Style" w:hAnsi="Bookman Old Style"/>
          <w:b/>
          <w:sz w:val="24"/>
          <w:szCs w:val="24"/>
          <w:lang w:val="el-GR"/>
        </w:rPr>
        <w:t xml:space="preserve">, </w:t>
      </w:r>
      <w:r w:rsidRPr="00DB0B61">
        <w:rPr>
          <w:rFonts w:ascii="Bookman Old Style" w:hAnsi="Bookman Old Style"/>
          <w:sz w:val="24"/>
          <w:szCs w:val="24"/>
          <w:lang w:val="el-GR"/>
        </w:rPr>
        <w:t>η απόφαση 653/2012 του Συνταγματικού Συμβουλίου της Γαλλίας («</w:t>
      </w:r>
      <w:r w:rsidRPr="00F47714">
        <w:rPr>
          <w:rFonts w:ascii="Bookman Old Style" w:hAnsi="Bookman Old Style"/>
          <w:sz w:val="24"/>
          <w:szCs w:val="24"/>
        </w:rPr>
        <w:t>Conseil</w:t>
      </w:r>
      <w:r w:rsidRPr="00DB0B61">
        <w:rPr>
          <w:rFonts w:ascii="Bookman Old Style" w:hAnsi="Bookman Old Style"/>
          <w:sz w:val="24"/>
          <w:szCs w:val="24"/>
          <w:lang w:val="el-GR"/>
        </w:rPr>
        <w:t xml:space="preserve"> </w:t>
      </w:r>
      <w:r w:rsidRPr="00F47714">
        <w:rPr>
          <w:rFonts w:ascii="Bookman Old Style" w:hAnsi="Bookman Old Style"/>
          <w:sz w:val="24"/>
          <w:szCs w:val="24"/>
        </w:rPr>
        <w:t>Constitutionnel</w:t>
      </w:r>
      <w:r w:rsidRPr="00DB0B61">
        <w:rPr>
          <w:rFonts w:ascii="Bookman Old Style" w:hAnsi="Bookman Old Style"/>
          <w:sz w:val="24"/>
          <w:szCs w:val="24"/>
          <w:lang w:val="el-GR"/>
        </w:rPr>
        <w:t xml:space="preserve">»).  </w:t>
      </w:r>
      <w:r w:rsidRPr="00182135">
        <w:rPr>
          <w:rFonts w:ascii="Bookman Old Style" w:hAnsi="Bookman Old Style"/>
          <w:sz w:val="24"/>
          <w:szCs w:val="24"/>
          <w:lang w:val="el-GR"/>
        </w:rPr>
        <w:t>Η απόφαση αυτή α</w:t>
      </w:r>
      <w:r w:rsidR="00182135">
        <w:rPr>
          <w:rFonts w:ascii="Bookman Old Style" w:hAnsi="Bookman Old Style"/>
          <w:sz w:val="24"/>
          <w:szCs w:val="24"/>
          <w:lang w:val="el-GR"/>
        </w:rPr>
        <w:t>φορούσε</w:t>
      </w:r>
      <w:r w:rsidRPr="00182135">
        <w:rPr>
          <w:rFonts w:ascii="Bookman Old Style" w:hAnsi="Bookman Old Style"/>
          <w:sz w:val="24"/>
          <w:szCs w:val="24"/>
          <w:lang w:val="el-GR"/>
        </w:rPr>
        <w:t xml:space="preserve"> παρεμφερές</w:t>
      </w:r>
      <w:r w:rsidR="00633F4C">
        <w:rPr>
          <w:rFonts w:ascii="Bookman Old Style" w:hAnsi="Bookman Old Style"/>
          <w:sz w:val="24"/>
          <w:szCs w:val="24"/>
          <w:lang w:val="el-GR"/>
        </w:rPr>
        <w:t>,</w:t>
      </w:r>
      <w:r w:rsidRPr="00182135">
        <w:rPr>
          <w:rFonts w:ascii="Bookman Old Style" w:hAnsi="Bookman Old Style"/>
          <w:sz w:val="24"/>
          <w:szCs w:val="24"/>
          <w:lang w:val="el-GR"/>
        </w:rPr>
        <w:t xml:space="preserve"> μ’ εκείν</w:t>
      </w:r>
      <w:r w:rsidR="00B5346F">
        <w:rPr>
          <w:rFonts w:ascii="Bookman Old Style" w:hAnsi="Bookman Old Style"/>
          <w:sz w:val="24"/>
          <w:szCs w:val="24"/>
          <w:lang w:val="el-GR"/>
        </w:rPr>
        <w:t>α</w:t>
      </w:r>
      <w:r w:rsidRPr="00182135">
        <w:rPr>
          <w:rFonts w:ascii="Bookman Old Style" w:hAnsi="Bookman Old Style"/>
          <w:sz w:val="24"/>
          <w:szCs w:val="24"/>
          <w:lang w:val="el-GR"/>
        </w:rPr>
        <w:t xml:space="preserve"> του</w:t>
      </w:r>
      <w:r w:rsidR="00182135">
        <w:rPr>
          <w:rFonts w:ascii="Bookman Old Style" w:hAnsi="Bookman Old Style"/>
          <w:sz w:val="24"/>
          <w:szCs w:val="24"/>
          <w:lang w:val="el-GR"/>
        </w:rPr>
        <w:t xml:space="preserve"> Ομοσπονδιακού</w:t>
      </w:r>
      <w:r w:rsidRPr="00182135">
        <w:rPr>
          <w:rFonts w:ascii="Bookman Old Style" w:hAnsi="Bookman Old Style"/>
          <w:sz w:val="24"/>
          <w:szCs w:val="24"/>
          <w:lang w:val="el-GR"/>
        </w:rPr>
        <w:t xml:space="preserve"> Συνταγματικού Δικαστηρίου </w:t>
      </w:r>
      <w:r w:rsidR="00182135">
        <w:rPr>
          <w:rFonts w:ascii="Bookman Old Style" w:hAnsi="Bookman Old Style"/>
          <w:sz w:val="24"/>
          <w:szCs w:val="24"/>
          <w:lang w:val="el-GR"/>
        </w:rPr>
        <w:t>της Γερμανίας</w:t>
      </w:r>
      <w:r w:rsidR="00633F4C">
        <w:rPr>
          <w:rFonts w:ascii="Bookman Old Style" w:hAnsi="Bookman Old Style"/>
          <w:sz w:val="24"/>
          <w:szCs w:val="24"/>
          <w:lang w:val="el-GR"/>
        </w:rPr>
        <w:t>,</w:t>
      </w:r>
      <w:r w:rsidR="00182135">
        <w:rPr>
          <w:rFonts w:ascii="Bookman Old Style" w:hAnsi="Bookman Old Style"/>
          <w:sz w:val="24"/>
          <w:szCs w:val="24"/>
          <w:lang w:val="el-GR"/>
        </w:rPr>
        <w:t xml:space="preserve"> </w:t>
      </w:r>
      <w:r w:rsidRPr="00182135">
        <w:rPr>
          <w:rFonts w:ascii="Bookman Old Style" w:hAnsi="Bookman Old Style"/>
          <w:sz w:val="24"/>
          <w:szCs w:val="24"/>
          <w:lang w:val="el-GR"/>
        </w:rPr>
        <w:t>ζήτημα.  Ήτοι το ζήτημα του αν και κατά πόσον ο κυρωτικός νόμος της Συνθήκης Σταθερότητας της Ευρωπαϊκής Ένωσης</w:t>
      </w:r>
      <w:r w:rsidR="00182135">
        <w:rPr>
          <w:rFonts w:ascii="Bookman Old Style" w:hAnsi="Bookman Old Style"/>
          <w:sz w:val="24"/>
          <w:szCs w:val="24"/>
          <w:lang w:val="el-GR"/>
        </w:rPr>
        <w:t>,</w:t>
      </w:r>
      <w:r w:rsidRPr="00182135">
        <w:rPr>
          <w:rFonts w:ascii="Bookman Old Style" w:hAnsi="Bookman Old Style"/>
          <w:sz w:val="24"/>
          <w:szCs w:val="24"/>
          <w:lang w:val="el-GR"/>
        </w:rPr>
        <w:t xml:space="preserve"> της 2.3.2013</w:t>
      </w:r>
      <w:r w:rsidR="00182135">
        <w:rPr>
          <w:rFonts w:ascii="Bookman Old Style" w:hAnsi="Bookman Old Style"/>
          <w:sz w:val="24"/>
          <w:szCs w:val="24"/>
          <w:lang w:val="el-GR"/>
        </w:rPr>
        <w:t>,</w:t>
      </w:r>
      <w:r w:rsidRPr="00182135">
        <w:rPr>
          <w:rFonts w:ascii="Bookman Old Style" w:hAnsi="Bookman Old Style"/>
          <w:sz w:val="24"/>
          <w:szCs w:val="24"/>
          <w:lang w:val="el-GR"/>
        </w:rPr>
        <w:t xml:space="preserve"> ήταν σύμφωνος με τις διατάξεις του </w:t>
      </w:r>
      <w:r w:rsidR="00182135">
        <w:rPr>
          <w:rFonts w:ascii="Bookman Old Style" w:hAnsi="Bookman Old Style"/>
          <w:sz w:val="24"/>
          <w:szCs w:val="24"/>
          <w:lang w:val="el-GR"/>
        </w:rPr>
        <w:t>Γ</w:t>
      </w:r>
      <w:r w:rsidRPr="00182135">
        <w:rPr>
          <w:rFonts w:ascii="Bookman Old Style" w:hAnsi="Bookman Old Style"/>
          <w:sz w:val="24"/>
          <w:szCs w:val="24"/>
          <w:lang w:val="el-GR"/>
        </w:rPr>
        <w:t xml:space="preserve">αλλικού </w:t>
      </w:r>
      <w:r w:rsidR="00182135">
        <w:rPr>
          <w:rFonts w:ascii="Bookman Old Style" w:hAnsi="Bookman Old Style"/>
          <w:sz w:val="24"/>
          <w:szCs w:val="24"/>
          <w:lang w:val="el-GR"/>
        </w:rPr>
        <w:t>Σ</w:t>
      </w:r>
      <w:r w:rsidRPr="00182135">
        <w:rPr>
          <w:rFonts w:ascii="Bookman Old Style" w:hAnsi="Bookman Old Style"/>
          <w:sz w:val="24"/>
          <w:szCs w:val="24"/>
          <w:lang w:val="el-GR"/>
        </w:rPr>
        <w:t>υντάγματος.</w:t>
      </w:r>
      <w:r w:rsidR="00182135">
        <w:rPr>
          <w:rFonts w:ascii="Bookman Old Style" w:hAnsi="Bookman Old Style"/>
          <w:sz w:val="24"/>
          <w:szCs w:val="24"/>
          <w:lang w:val="el-GR"/>
        </w:rPr>
        <w:t xml:space="preserve"> </w:t>
      </w:r>
      <w:r w:rsidRPr="00182135">
        <w:rPr>
          <w:rFonts w:ascii="Bookman Old Style" w:hAnsi="Bookman Old Style"/>
          <w:sz w:val="24"/>
          <w:szCs w:val="24"/>
          <w:lang w:val="el-GR"/>
        </w:rPr>
        <w:t>Στην απάντησή του το Γαλλικό Συνταγματικό Συμβούλιο στηρίχθηκε, κατά βάση, στις διατάξεις</w:t>
      </w:r>
      <w:r w:rsidR="00182135">
        <w:rPr>
          <w:rFonts w:ascii="Bookman Old Style" w:hAnsi="Bookman Old Style"/>
          <w:sz w:val="24"/>
          <w:szCs w:val="24"/>
          <w:lang w:val="el-GR"/>
        </w:rPr>
        <w:t xml:space="preserve"> α</w:t>
      </w:r>
      <w:r w:rsidRPr="00182135">
        <w:rPr>
          <w:rFonts w:ascii="Bookman Old Style" w:hAnsi="Bookman Old Style"/>
          <w:sz w:val="24"/>
          <w:szCs w:val="24"/>
          <w:lang w:val="el-GR"/>
        </w:rPr>
        <w:t xml:space="preserve">φενός του άρθρου 3, περί εθνικής κυριαρχίας, της Διακήρυξης των Δικαιωμάτων του Ανθρώπου και του </w:t>
      </w:r>
      <w:r w:rsidRPr="00182135">
        <w:rPr>
          <w:rFonts w:ascii="Bookman Old Style" w:hAnsi="Bookman Old Style"/>
          <w:sz w:val="24"/>
          <w:szCs w:val="24"/>
          <w:lang w:val="el-GR"/>
        </w:rPr>
        <w:lastRenderedPageBreak/>
        <w:t xml:space="preserve">Πολίτη του 1789, η οποία διατηρεί </w:t>
      </w:r>
      <w:r w:rsidR="00633F4C">
        <w:rPr>
          <w:rFonts w:ascii="Bookman Old Style" w:hAnsi="Bookman Old Style"/>
          <w:sz w:val="24"/>
          <w:szCs w:val="24"/>
          <w:lang w:val="el-GR"/>
        </w:rPr>
        <w:t>αδιαλείπτως</w:t>
      </w:r>
      <w:r w:rsidRPr="00182135">
        <w:rPr>
          <w:rFonts w:ascii="Bookman Old Style" w:hAnsi="Bookman Old Style"/>
          <w:sz w:val="24"/>
          <w:szCs w:val="24"/>
          <w:lang w:val="el-GR"/>
        </w:rPr>
        <w:t xml:space="preserve"> την κανονιστική της εμβέλεια στο πλαίσιο της </w:t>
      </w:r>
      <w:r w:rsidR="00633F4C">
        <w:rPr>
          <w:rFonts w:ascii="Bookman Old Style" w:hAnsi="Bookman Old Style"/>
          <w:sz w:val="24"/>
          <w:szCs w:val="24"/>
          <w:lang w:val="el-GR"/>
        </w:rPr>
        <w:t>Γ</w:t>
      </w:r>
      <w:r w:rsidRPr="00182135">
        <w:rPr>
          <w:rFonts w:ascii="Bookman Old Style" w:hAnsi="Bookman Old Style"/>
          <w:sz w:val="24"/>
          <w:szCs w:val="24"/>
          <w:lang w:val="el-GR"/>
        </w:rPr>
        <w:t xml:space="preserve">αλλικής </w:t>
      </w:r>
      <w:r w:rsidR="00633F4C">
        <w:rPr>
          <w:rFonts w:ascii="Bookman Old Style" w:hAnsi="Bookman Old Style"/>
          <w:sz w:val="24"/>
          <w:szCs w:val="24"/>
          <w:lang w:val="el-GR"/>
        </w:rPr>
        <w:t>Έ</w:t>
      </w:r>
      <w:r w:rsidRPr="00182135">
        <w:rPr>
          <w:rFonts w:ascii="Bookman Old Style" w:hAnsi="Bookman Old Style"/>
          <w:sz w:val="24"/>
          <w:szCs w:val="24"/>
          <w:lang w:val="el-GR"/>
        </w:rPr>
        <w:t xml:space="preserve">ννομης </w:t>
      </w:r>
      <w:r w:rsidR="00633F4C">
        <w:rPr>
          <w:rFonts w:ascii="Bookman Old Style" w:hAnsi="Bookman Old Style"/>
          <w:sz w:val="24"/>
          <w:szCs w:val="24"/>
          <w:lang w:val="el-GR"/>
        </w:rPr>
        <w:t>Τ</w:t>
      </w:r>
      <w:r w:rsidRPr="00182135">
        <w:rPr>
          <w:rFonts w:ascii="Bookman Old Style" w:hAnsi="Bookman Old Style"/>
          <w:sz w:val="24"/>
          <w:szCs w:val="24"/>
          <w:lang w:val="el-GR"/>
        </w:rPr>
        <w:t xml:space="preserve">άξης.  </w:t>
      </w:r>
      <w:r w:rsidR="00182135">
        <w:rPr>
          <w:rFonts w:ascii="Bookman Old Style" w:hAnsi="Bookman Old Style"/>
          <w:sz w:val="24"/>
          <w:szCs w:val="24"/>
          <w:lang w:val="el-GR"/>
        </w:rPr>
        <w:t xml:space="preserve">Και, </w:t>
      </w:r>
      <w:r w:rsidRPr="00182135">
        <w:rPr>
          <w:rFonts w:ascii="Bookman Old Style" w:hAnsi="Bookman Old Style"/>
          <w:sz w:val="24"/>
          <w:szCs w:val="24"/>
          <w:lang w:val="el-GR"/>
        </w:rPr>
        <w:t xml:space="preserve">αφετέρου, του άρθρου 88 του </w:t>
      </w:r>
      <w:r w:rsidR="00182135">
        <w:rPr>
          <w:rFonts w:ascii="Bookman Old Style" w:hAnsi="Bookman Old Style"/>
          <w:sz w:val="24"/>
          <w:szCs w:val="24"/>
          <w:lang w:val="el-GR"/>
        </w:rPr>
        <w:t>Γ</w:t>
      </w:r>
      <w:r w:rsidRPr="00182135">
        <w:rPr>
          <w:rFonts w:ascii="Bookman Old Style" w:hAnsi="Bookman Old Style"/>
          <w:sz w:val="24"/>
          <w:szCs w:val="24"/>
          <w:lang w:val="el-GR"/>
        </w:rPr>
        <w:t xml:space="preserve">αλλικού </w:t>
      </w:r>
      <w:r w:rsidR="00182135">
        <w:rPr>
          <w:rFonts w:ascii="Bookman Old Style" w:hAnsi="Bookman Old Style"/>
          <w:sz w:val="24"/>
          <w:szCs w:val="24"/>
          <w:lang w:val="el-GR"/>
        </w:rPr>
        <w:t>Σ</w:t>
      </w:r>
      <w:r w:rsidRPr="00182135">
        <w:rPr>
          <w:rFonts w:ascii="Bookman Old Style" w:hAnsi="Bookman Old Style"/>
          <w:sz w:val="24"/>
          <w:szCs w:val="24"/>
          <w:lang w:val="el-GR"/>
        </w:rPr>
        <w:t xml:space="preserve">υντάγματος, με βάση τις οποίες οριοθετείται το πώς η Γαλλική Δημοκρατία μετέχει στην Ευρωπαϊκή Ένωση. </w:t>
      </w:r>
      <w:r w:rsidR="00182135">
        <w:rPr>
          <w:rFonts w:ascii="Bookman Old Style" w:hAnsi="Bookman Old Style"/>
          <w:sz w:val="24"/>
          <w:szCs w:val="24"/>
          <w:lang w:val="el-GR"/>
        </w:rPr>
        <w:t xml:space="preserve"> </w:t>
      </w:r>
      <w:r w:rsidRPr="00182135">
        <w:rPr>
          <w:rFonts w:ascii="Bookman Old Style" w:hAnsi="Bookman Old Style"/>
          <w:sz w:val="24"/>
          <w:szCs w:val="24"/>
          <w:lang w:val="el-GR"/>
        </w:rPr>
        <w:t xml:space="preserve">Ειδικότερα δε, ερμηνεύοντας συνδυαστικώς τις ως άνω διατάξεις, το Γαλλικό Συνταγματικό Συμβούλιο δέχθηκε ότι η προς κύρωση </w:t>
      </w:r>
      <w:r w:rsidR="00182135">
        <w:rPr>
          <w:rFonts w:ascii="Bookman Old Style" w:hAnsi="Bookman Old Style"/>
          <w:sz w:val="24"/>
          <w:szCs w:val="24"/>
          <w:lang w:val="el-GR"/>
        </w:rPr>
        <w:t>Σ</w:t>
      </w:r>
      <w:r w:rsidRPr="00182135">
        <w:rPr>
          <w:rFonts w:ascii="Bookman Old Style" w:hAnsi="Bookman Old Style"/>
          <w:sz w:val="24"/>
          <w:szCs w:val="24"/>
          <w:lang w:val="el-GR"/>
        </w:rPr>
        <w:t xml:space="preserve">υνθήκη δεν συνεπάγεται –ούτε μπορεί να συνεπάγεται- μεταβίβαση κυριαρχικών αρμοδιοτήτων του </w:t>
      </w:r>
      <w:r w:rsidR="00182135">
        <w:rPr>
          <w:rFonts w:ascii="Bookman Old Style" w:hAnsi="Bookman Old Style"/>
          <w:sz w:val="24"/>
          <w:szCs w:val="24"/>
          <w:lang w:val="el-GR"/>
        </w:rPr>
        <w:t>Γ</w:t>
      </w:r>
      <w:r w:rsidRPr="00182135">
        <w:rPr>
          <w:rFonts w:ascii="Bookman Old Style" w:hAnsi="Bookman Old Style"/>
          <w:sz w:val="24"/>
          <w:szCs w:val="24"/>
          <w:lang w:val="el-GR"/>
        </w:rPr>
        <w:t xml:space="preserve">αλλικού </w:t>
      </w:r>
      <w:r w:rsidR="00182135">
        <w:rPr>
          <w:rFonts w:ascii="Bookman Old Style" w:hAnsi="Bookman Old Style"/>
          <w:sz w:val="24"/>
          <w:szCs w:val="24"/>
          <w:lang w:val="el-GR"/>
        </w:rPr>
        <w:t>Κ</w:t>
      </w:r>
      <w:r w:rsidRPr="00182135">
        <w:rPr>
          <w:rFonts w:ascii="Bookman Old Style" w:hAnsi="Bookman Old Style"/>
          <w:sz w:val="24"/>
          <w:szCs w:val="24"/>
          <w:lang w:val="el-GR"/>
        </w:rPr>
        <w:t>ράτους</w:t>
      </w:r>
      <w:r w:rsidR="00182135">
        <w:rPr>
          <w:rFonts w:ascii="Bookman Old Style" w:hAnsi="Bookman Old Style"/>
          <w:sz w:val="24"/>
          <w:szCs w:val="24"/>
          <w:lang w:val="el-GR"/>
        </w:rPr>
        <w:t>,</w:t>
      </w:r>
      <w:r w:rsidRPr="00182135">
        <w:rPr>
          <w:rFonts w:ascii="Bookman Old Style" w:hAnsi="Bookman Old Style"/>
          <w:sz w:val="24"/>
          <w:szCs w:val="24"/>
          <w:lang w:val="el-GR"/>
        </w:rPr>
        <w:t xml:space="preserve"> που σχετίζονται με δημοσιονομικά θέματα.  Δοθέντος ότι, κατά την </w:t>
      </w:r>
      <w:r w:rsidR="00633F4C">
        <w:rPr>
          <w:rFonts w:ascii="Bookman Old Style" w:hAnsi="Bookman Old Style"/>
          <w:sz w:val="24"/>
          <w:szCs w:val="24"/>
          <w:lang w:val="el-GR"/>
        </w:rPr>
        <w:t>Γ</w:t>
      </w:r>
      <w:r w:rsidRPr="00182135">
        <w:rPr>
          <w:rFonts w:ascii="Bookman Old Style" w:hAnsi="Bookman Old Style"/>
          <w:sz w:val="24"/>
          <w:szCs w:val="24"/>
          <w:lang w:val="el-GR"/>
        </w:rPr>
        <w:t xml:space="preserve">αλλική </w:t>
      </w:r>
      <w:r w:rsidR="00633F4C">
        <w:rPr>
          <w:rFonts w:ascii="Bookman Old Style" w:hAnsi="Bookman Old Style"/>
          <w:sz w:val="24"/>
          <w:szCs w:val="24"/>
          <w:lang w:val="el-GR"/>
        </w:rPr>
        <w:t>Έ</w:t>
      </w:r>
      <w:r w:rsidRPr="00182135">
        <w:rPr>
          <w:rFonts w:ascii="Bookman Old Style" w:hAnsi="Bookman Old Style"/>
          <w:sz w:val="24"/>
          <w:szCs w:val="24"/>
          <w:lang w:val="el-GR"/>
        </w:rPr>
        <w:t xml:space="preserve">ννομη </w:t>
      </w:r>
      <w:r w:rsidR="00633F4C">
        <w:rPr>
          <w:rFonts w:ascii="Bookman Old Style" w:hAnsi="Bookman Old Style"/>
          <w:sz w:val="24"/>
          <w:szCs w:val="24"/>
          <w:lang w:val="el-GR"/>
        </w:rPr>
        <w:t>Τ</w:t>
      </w:r>
      <w:r w:rsidRPr="00182135">
        <w:rPr>
          <w:rFonts w:ascii="Bookman Old Style" w:hAnsi="Bookman Old Style"/>
          <w:sz w:val="24"/>
          <w:szCs w:val="24"/>
          <w:lang w:val="el-GR"/>
        </w:rPr>
        <w:t xml:space="preserve">άξη και την ιεραρχία της, το </w:t>
      </w:r>
      <w:r w:rsidR="00182135">
        <w:rPr>
          <w:rFonts w:ascii="Bookman Old Style" w:hAnsi="Bookman Old Style"/>
          <w:sz w:val="24"/>
          <w:szCs w:val="24"/>
          <w:lang w:val="el-GR"/>
        </w:rPr>
        <w:t>Γ</w:t>
      </w:r>
      <w:r w:rsidRPr="00182135">
        <w:rPr>
          <w:rFonts w:ascii="Bookman Old Style" w:hAnsi="Bookman Old Style"/>
          <w:sz w:val="24"/>
          <w:szCs w:val="24"/>
          <w:lang w:val="el-GR"/>
        </w:rPr>
        <w:t xml:space="preserve">αλλικό </w:t>
      </w:r>
      <w:r w:rsidR="00182135">
        <w:rPr>
          <w:rFonts w:ascii="Bookman Old Style" w:hAnsi="Bookman Old Style"/>
          <w:sz w:val="24"/>
          <w:szCs w:val="24"/>
          <w:lang w:val="el-GR"/>
        </w:rPr>
        <w:t>Σ</w:t>
      </w:r>
      <w:r w:rsidRPr="00182135">
        <w:rPr>
          <w:rFonts w:ascii="Bookman Old Style" w:hAnsi="Bookman Old Style"/>
          <w:sz w:val="24"/>
          <w:szCs w:val="24"/>
          <w:lang w:val="el-GR"/>
        </w:rPr>
        <w:t>ύνταγμα δεν επιτρέπει μεταβίβαση τέτοιων αρμοδιοτήτων.</w:t>
      </w:r>
    </w:p>
    <w:p w:rsidR="002018C0" w:rsidRPr="00182135" w:rsidRDefault="00182135" w:rsidP="00303AFA">
      <w:pPr>
        <w:pStyle w:val="2"/>
        <w:numPr>
          <w:ilvl w:val="0"/>
          <w:numId w:val="12"/>
        </w:numPr>
        <w:spacing w:before="240" w:line="360" w:lineRule="auto"/>
        <w:ind w:left="1418" w:hanging="284"/>
        <w:jc w:val="both"/>
        <w:rPr>
          <w:rFonts w:ascii="Bookman Old Style" w:hAnsi="Bookman Old Style"/>
          <w:sz w:val="24"/>
          <w:szCs w:val="24"/>
          <w:lang w:val="el-GR"/>
        </w:rPr>
      </w:pPr>
      <w:r>
        <w:rPr>
          <w:rFonts w:ascii="Bookman Old Style" w:hAnsi="Bookman Old Style"/>
          <w:b/>
          <w:sz w:val="24"/>
          <w:szCs w:val="24"/>
          <w:lang w:val="el-GR"/>
        </w:rPr>
        <w:t>Παράδειγμα δεύτ</w:t>
      </w:r>
      <w:r w:rsidR="00B01E01">
        <w:rPr>
          <w:rFonts w:ascii="Bookman Old Style" w:hAnsi="Bookman Old Style"/>
          <w:b/>
          <w:sz w:val="24"/>
          <w:szCs w:val="24"/>
          <w:lang w:val="el-GR"/>
        </w:rPr>
        <w:t>ε</w:t>
      </w:r>
      <w:r>
        <w:rPr>
          <w:rFonts w:ascii="Bookman Old Style" w:hAnsi="Bookman Old Style"/>
          <w:b/>
          <w:sz w:val="24"/>
          <w:szCs w:val="24"/>
          <w:lang w:val="el-GR"/>
        </w:rPr>
        <w:t>ρο</w:t>
      </w:r>
      <w:r w:rsidR="002018C0" w:rsidRPr="00182135">
        <w:rPr>
          <w:rFonts w:ascii="Bookman Old Style" w:hAnsi="Bookman Old Style"/>
          <w:b/>
          <w:sz w:val="24"/>
          <w:szCs w:val="24"/>
          <w:lang w:val="el-GR"/>
        </w:rPr>
        <w:t xml:space="preserve">, </w:t>
      </w:r>
      <w:r w:rsidR="002018C0" w:rsidRPr="00182135">
        <w:rPr>
          <w:rFonts w:ascii="Bookman Old Style" w:hAnsi="Bookman Old Style"/>
          <w:sz w:val="24"/>
          <w:szCs w:val="24"/>
          <w:lang w:val="el-GR"/>
        </w:rPr>
        <w:t>η απόφαση του Συνταγματικού Δικαστηρίου της Ιταλίας της 26.1.2017.</w:t>
      </w:r>
      <w:r>
        <w:rPr>
          <w:rFonts w:ascii="Bookman Old Style" w:hAnsi="Bookman Old Style"/>
          <w:sz w:val="24"/>
          <w:szCs w:val="24"/>
          <w:lang w:val="el-GR"/>
        </w:rPr>
        <w:t xml:space="preserve"> </w:t>
      </w:r>
      <w:r w:rsidR="002018C0" w:rsidRPr="00182135">
        <w:rPr>
          <w:rFonts w:ascii="Bookman Old Style" w:hAnsi="Bookman Old Style"/>
          <w:sz w:val="24"/>
          <w:szCs w:val="24"/>
          <w:lang w:val="el-GR"/>
        </w:rPr>
        <w:t>Πρόκειται για την απόφαση  του Συνταγματικού  Δικαστηρίου της  Ιταλίας (Διάταξη 24/2017 της  26.1.2017), με την οποία απεστάλη προδικαστικό ερώτημα στο ΔΕΕ</w:t>
      </w:r>
      <w:r>
        <w:rPr>
          <w:rFonts w:ascii="Bookman Old Style" w:hAnsi="Bookman Old Style"/>
          <w:sz w:val="24"/>
          <w:szCs w:val="24"/>
          <w:lang w:val="el-GR"/>
        </w:rPr>
        <w:t>,</w:t>
      </w:r>
      <w:r w:rsidR="002018C0" w:rsidRPr="00182135">
        <w:rPr>
          <w:rFonts w:ascii="Bookman Old Style" w:hAnsi="Bookman Old Style"/>
          <w:sz w:val="24"/>
          <w:szCs w:val="24"/>
          <w:lang w:val="el-GR"/>
        </w:rPr>
        <w:t xml:space="preserve"> προκειμένου αυτό να «διευκρινίσει» σημεία της απόφασής του στην υπόθεση </w:t>
      </w:r>
      <w:r w:rsidR="002018C0" w:rsidRPr="00182135">
        <w:rPr>
          <w:rFonts w:ascii="Bookman Old Style" w:hAnsi="Bookman Old Style"/>
          <w:sz w:val="24"/>
          <w:szCs w:val="24"/>
        </w:rPr>
        <w:t>C</w:t>
      </w:r>
      <w:r w:rsidR="002018C0" w:rsidRPr="00182135">
        <w:rPr>
          <w:rFonts w:ascii="Bookman Old Style" w:hAnsi="Bookman Old Style"/>
          <w:sz w:val="24"/>
          <w:szCs w:val="24"/>
          <w:lang w:val="el-GR"/>
        </w:rPr>
        <w:t xml:space="preserve">-105/15, </w:t>
      </w:r>
      <w:r>
        <w:rPr>
          <w:rFonts w:ascii="Bookman Old Style" w:hAnsi="Bookman Old Style"/>
          <w:sz w:val="24"/>
          <w:szCs w:val="24"/>
          <w:lang w:val="el-GR"/>
        </w:rPr>
        <w:t>«</w:t>
      </w:r>
      <w:r w:rsidR="002018C0" w:rsidRPr="00182135">
        <w:rPr>
          <w:rFonts w:ascii="Bookman Old Style" w:hAnsi="Bookman Old Style"/>
          <w:sz w:val="24"/>
          <w:szCs w:val="24"/>
        </w:rPr>
        <w:t>Taricco</w:t>
      </w:r>
      <w:r>
        <w:rPr>
          <w:rFonts w:ascii="Bookman Old Style" w:hAnsi="Bookman Old Style"/>
          <w:sz w:val="24"/>
          <w:szCs w:val="24"/>
          <w:lang w:val="el-GR"/>
        </w:rPr>
        <w:t xml:space="preserve">», </w:t>
      </w:r>
      <w:r w:rsidR="002018C0" w:rsidRPr="00182135">
        <w:rPr>
          <w:rFonts w:ascii="Bookman Old Style" w:hAnsi="Bookman Old Style"/>
          <w:sz w:val="24"/>
          <w:szCs w:val="24"/>
          <w:lang w:val="el-GR"/>
        </w:rPr>
        <w:t xml:space="preserve">σχετικά με ρυθμίσεις του ιταλικού δικαίου στον τομέα της παραγραφής ποινικών αδικημάτων. Με την προδικαστική αυτή απόφαση το Ιταλικό Συνταγματικό Δικαστήριο ζήτησε από  το ΔΕΕ να επανεξετάσει τις κρίσεις του σχετικά με τις ιταλικές εθνικές  διατάξεις, καλώντας το να λάβει υπόψη ότι </w:t>
      </w:r>
      <w:r>
        <w:rPr>
          <w:rFonts w:ascii="Bookman Old Style" w:hAnsi="Bookman Old Style"/>
          <w:sz w:val="24"/>
          <w:szCs w:val="24"/>
          <w:lang w:val="el-GR"/>
        </w:rPr>
        <w:t>αφενός</w:t>
      </w:r>
      <w:r w:rsidR="002018C0" w:rsidRPr="00182135">
        <w:rPr>
          <w:rFonts w:ascii="Bookman Old Style" w:hAnsi="Bookman Old Style"/>
          <w:sz w:val="24"/>
          <w:szCs w:val="24"/>
          <w:lang w:val="el-GR"/>
        </w:rPr>
        <w:t xml:space="preserve">  στην </w:t>
      </w:r>
      <w:r w:rsidR="00633F4C">
        <w:rPr>
          <w:rFonts w:ascii="Bookman Old Style" w:hAnsi="Bookman Old Style"/>
          <w:sz w:val="24"/>
          <w:szCs w:val="24"/>
          <w:lang w:val="el-GR"/>
        </w:rPr>
        <w:t>Ι</w:t>
      </w:r>
      <w:r w:rsidR="002018C0" w:rsidRPr="00182135">
        <w:rPr>
          <w:rFonts w:ascii="Bookman Old Style" w:hAnsi="Bookman Old Style"/>
          <w:sz w:val="24"/>
          <w:szCs w:val="24"/>
          <w:lang w:val="el-GR"/>
        </w:rPr>
        <w:t xml:space="preserve">ταλική </w:t>
      </w:r>
      <w:r w:rsidR="00633F4C">
        <w:rPr>
          <w:rFonts w:ascii="Bookman Old Style" w:hAnsi="Bookman Old Style"/>
          <w:sz w:val="24"/>
          <w:szCs w:val="24"/>
          <w:lang w:val="el-GR"/>
        </w:rPr>
        <w:t>Έ</w:t>
      </w:r>
      <w:r w:rsidR="002018C0" w:rsidRPr="00182135">
        <w:rPr>
          <w:rFonts w:ascii="Bookman Old Style" w:hAnsi="Bookman Old Style"/>
          <w:sz w:val="24"/>
          <w:szCs w:val="24"/>
          <w:lang w:val="el-GR"/>
        </w:rPr>
        <w:t xml:space="preserve">ννομη </w:t>
      </w:r>
      <w:r w:rsidR="00633F4C">
        <w:rPr>
          <w:rFonts w:ascii="Bookman Old Style" w:hAnsi="Bookman Old Style"/>
          <w:sz w:val="24"/>
          <w:szCs w:val="24"/>
          <w:lang w:val="el-GR"/>
        </w:rPr>
        <w:t>Τ</w:t>
      </w:r>
      <w:r w:rsidR="002018C0" w:rsidRPr="00182135">
        <w:rPr>
          <w:rFonts w:ascii="Bookman Old Style" w:hAnsi="Bookman Old Style"/>
          <w:sz w:val="24"/>
          <w:szCs w:val="24"/>
          <w:lang w:val="el-GR"/>
        </w:rPr>
        <w:t xml:space="preserve">άξη η παραγραφή είναι θεσμός του ουσιαστικού δικαίου </w:t>
      </w:r>
      <w:r>
        <w:rPr>
          <w:rFonts w:ascii="Bookman Old Style" w:hAnsi="Bookman Old Style"/>
          <w:sz w:val="24"/>
          <w:szCs w:val="24"/>
          <w:lang w:val="el-GR"/>
        </w:rPr>
        <w:t>-</w:t>
      </w:r>
      <w:r w:rsidR="002018C0" w:rsidRPr="00182135">
        <w:rPr>
          <w:rFonts w:ascii="Bookman Old Style" w:hAnsi="Bookman Old Style"/>
          <w:sz w:val="24"/>
          <w:szCs w:val="24"/>
          <w:lang w:val="el-GR"/>
        </w:rPr>
        <w:t>και όχι του διαδικαστικού δικαίου, όπως φαίνεται να θεώρησε το ΔΕΕ στην σκέψη 57 της ανωτέρω απόφασής του</w:t>
      </w:r>
      <w:r>
        <w:rPr>
          <w:rFonts w:ascii="Bookman Old Style" w:hAnsi="Bookman Old Style"/>
          <w:sz w:val="24"/>
          <w:szCs w:val="24"/>
          <w:lang w:val="el-GR"/>
        </w:rPr>
        <w:t>-</w:t>
      </w:r>
      <w:r w:rsidR="002018C0" w:rsidRPr="00182135">
        <w:rPr>
          <w:rFonts w:ascii="Bookman Old Style" w:hAnsi="Bookman Old Style"/>
          <w:sz w:val="24"/>
          <w:szCs w:val="24"/>
          <w:lang w:val="el-GR"/>
        </w:rPr>
        <w:t xml:space="preserve"> και ο κανόνας του αποκλεισμού της επιμήκυνσης του χρόνου παραγραφής τελεσθέντων ποινικών αδικημάτων απορρέει από τη</w:t>
      </w:r>
      <w:r>
        <w:rPr>
          <w:rFonts w:ascii="Bookman Old Style" w:hAnsi="Bookman Old Style"/>
          <w:sz w:val="24"/>
          <w:szCs w:val="24"/>
          <w:lang w:val="el-GR"/>
        </w:rPr>
        <w:t>ν</w:t>
      </w:r>
      <w:r w:rsidR="002018C0" w:rsidRPr="00182135">
        <w:rPr>
          <w:rFonts w:ascii="Bookman Old Style" w:hAnsi="Bookman Old Style"/>
          <w:sz w:val="24"/>
          <w:szCs w:val="24"/>
          <w:lang w:val="el-GR"/>
        </w:rPr>
        <w:t xml:space="preserve"> βασική συνταγματική αρχή της νομιμότητας των αδικημάτων και των ποινών</w:t>
      </w:r>
      <w:r>
        <w:rPr>
          <w:rFonts w:ascii="Bookman Old Style" w:hAnsi="Bookman Old Style"/>
          <w:sz w:val="24"/>
          <w:szCs w:val="24"/>
          <w:lang w:val="el-GR"/>
        </w:rPr>
        <w:t xml:space="preserve">. </w:t>
      </w:r>
      <w:r w:rsidR="002018C0" w:rsidRPr="00182135">
        <w:rPr>
          <w:rFonts w:ascii="Bookman Old Style" w:hAnsi="Bookman Old Style"/>
          <w:sz w:val="24"/>
          <w:szCs w:val="24"/>
          <w:lang w:val="el-GR"/>
        </w:rPr>
        <w:t xml:space="preserve"> </w:t>
      </w:r>
      <w:r>
        <w:rPr>
          <w:rFonts w:ascii="Bookman Old Style" w:hAnsi="Bookman Old Style"/>
          <w:sz w:val="24"/>
          <w:szCs w:val="24"/>
          <w:lang w:val="el-GR"/>
        </w:rPr>
        <w:t>Και, αφετέρου,</w:t>
      </w:r>
      <w:r w:rsidR="002018C0" w:rsidRPr="00182135">
        <w:rPr>
          <w:rFonts w:ascii="Bookman Old Style" w:hAnsi="Bookman Old Style"/>
          <w:sz w:val="24"/>
          <w:szCs w:val="24"/>
          <w:lang w:val="el-GR"/>
        </w:rPr>
        <w:t xml:space="preserve">  το </w:t>
      </w:r>
      <w:r>
        <w:rPr>
          <w:rFonts w:ascii="Bookman Old Style" w:hAnsi="Bookman Old Style"/>
          <w:sz w:val="24"/>
          <w:szCs w:val="24"/>
          <w:lang w:val="el-GR"/>
        </w:rPr>
        <w:t>Ε</w:t>
      </w:r>
      <w:r w:rsidR="002018C0" w:rsidRPr="00182135">
        <w:rPr>
          <w:rFonts w:ascii="Bookman Old Style" w:hAnsi="Bookman Old Style"/>
          <w:sz w:val="24"/>
          <w:szCs w:val="24"/>
          <w:lang w:val="el-GR"/>
        </w:rPr>
        <w:t xml:space="preserve">υρωπαϊκό </w:t>
      </w:r>
      <w:r>
        <w:rPr>
          <w:rFonts w:ascii="Bookman Old Style" w:hAnsi="Bookman Old Style"/>
          <w:sz w:val="24"/>
          <w:szCs w:val="24"/>
          <w:lang w:val="el-GR"/>
        </w:rPr>
        <w:t>Δ</w:t>
      </w:r>
      <w:r w:rsidR="002018C0" w:rsidRPr="00182135">
        <w:rPr>
          <w:rFonts w:ascii="Bookman Old Style" w:hAnsi="Bookman Old Style"/>
          <w:sz w:val="24"/>
          <w:szCs w:val="24"/>
          <w:lang w:val="el-GR"/>
        </w:rPr>
        <w:t>ίκαιο πρέπει ν</w:t>
      </w:r>
      <w:r>
        <w:rPr>
          <w:rFonts w:ascii="Bookman Old Style" w:hAnsi="Bookman Old Style"/>
          <w:sz w:val="24"/>
          <w:szCs w:val="24"/>
          <w:lang w:val="el-GR"/>
        </w:rPr>
        <w:t>’</w:t>
      </w:r>
      <w:r w:rsidR="002018C0" w:rsidRPr="00182135">
        <w:rPr>
          <w:rFonts w:ascii="Bookman Old Style" w:hAnsi="Bookman Old Style"/>
          <w:sz w:val="24"/>
          <w:szCs w:val="24"/>
          <w:lang w:val="el-GR"/>
        </w:rPr>
        <w:t xml:space="preserve"> </w:t>
      </w:r>
      <w:r w:rsidR="002018C0" w:rsidRPr="00182135">
        <w:rPr>
          <w:rFonts w:ascii="Bookman Old Style" w:hAnsi="Bookman Old Style"/>
          <w:sz w:val="24"/>
          <w:szCs w:val="24"/>
          <w:lang w:val="el-GR"/>
        </w:rPr>
        <w:lastRenderedPageBreak/>
        <w:t xml:space="preserve">ανέχεται τους εθνικούς κανόνες που συνιστούν τμήμα της συνταγματικής ταυτότητας των </w:t>
      </w:r>
      <w:r>
        <w:rPr>
          <w:rFonts w:ascii="Bookman Old Style" w:hAnsi="Bookman Old Style"/>
          <w:sz w:val="24"/>
          <w:szCs w:val="24"/>
          <w:lang w:val="el-GR"/>
        </w:rPr>
        <w:t>Κ</w:t>
      </w:r>
      <w:r w:rsidR="002018C0" w:rsidRPr="00182135">
        <w:rPr>
          <w:rFonts w:ascii="Bookman Old Style" w:hAnsi="Bookman Old Style"/>
          <w:sz w:val="24"/>
          <w:szCs w:val="24"/>
          <w:lang w:val="el-GR"/>
        </w:rPr>
        <w:t>ρατών-</w:t>
      </w:r>
      <w:r>
        <w:rPr>
          <w:rFonts w:ascii="Bookman Old Style" w:hAnsi="Bookman Old Style"/>
          <w:sz w:val="24"/>
          <w:szCs w:val="24"/>
          <w:lang w:val="el-GR"/>
        </w:rPr>
        <w:t>Μ</w:t>
      </w:r>
      <w:r w:rsidR="002018C0" w:rsidRPr="00182135">
        <w:rPr>
          <w:rFonts w:ascii="Bookman Old Style" w:hAnsi="Bookman Old Style"/>
          <w:sz w:val="24"/>
          <w:szCs w:val="24"/>
          <w:lang w:val="el-GR"/>
        </w:rPr>
        <w:t>ελών</w:t>
      </w:r>
      <w:r w:rsidR="00633F4C">
        <w:rPr>
          <w:rFonts w:ascii="Bookman Old Style" w:hAnsi="Bookman Old Style"/>
          <w:sz w:val="24"/>
          <w:szCs w:val="24"/>
          <w:lang w:val="el-GR"/>
        </w:rPr>
        <w:t xml:space="preserve">.  Και αυτό διότι </w:t>
      </w:r>
      <w:r w:rsidR="002018C0" w:rsidRPr="00182135">
        <w:rPr>
          <w:rFonts w:ascii="Bookman Old Style" w:hAnsi="Bookman Old Style"/>
          <w:sz w:val="24"/>
          <w:szCs w:val="24"/>
          <w:lang w:val="el-GR"/>
        </w:rPr>
        <w:t xml:space="preserve">δεν μπορεί να επιδιώκει την αναίρεση των συνταγματικών θεμελίων των </w:t>
      </w:r>
      <w:r w:rsidR="00633F4C">
        <w:rPr>
          <w:rFonts w:ascii="Bookman Old Style" w:hAnsi="Bookman Old Style"/>
          <w:sz w:val="24"/>
          <w:szCs w:val="24"/>
          <w:lang w:val="el-GR"/>
        </w:rPr>
        <w:t>Κ</w:t>
      </w:r>
      <w:r w:rsidR="002018C0" w:rsidRPr="00182135">
        <w:rPr>
          <w:rFonts w:ascii="Bookman Old Style" w:hAnsi="Bookman Old Style"/>
          <w:sz w:val="24"/>
          <w:szCs w:val="24"/>
          <w:lang w:val="el-GR"/>
        </w:rPr>
        <w:t>ρατών-</w:t>
      </w:r>
      <w:r w:rsidR="00633F4C">
        <w:rPr>
          <w:rFonts w:ascii="Bookman Old Style" w:hAnsi="Bookman Old Style"/>
          <w:sz w:val="24"/>
          <w:szCs w:val="24"/>
          <w:lang w:val="el-GR"/>
        </w:rPr>
        <w:t>Μ</w:t>
      </w:r>
      <w:r w:rsidR="002018C0" w:rsidRPr="00182135">
        <w:rPr>
          <w:rFonts w:ascii="Bookman Old Style" w:hAnsi="Bookman Old Style"/>
          <w:sz w:val="24"/>
          <w:szCs w:val="24"/>
          <w:lang w:val="el-GR"/>
        </w:rPr>
        <w:t>ελών, στην βούληση των οποίων ερείδεται.</w:t>
      </w:r>
    </w:p>
    <w:p w:rsidR="002018C0" w:rsidRDefault="00182135" w:rsidP="00303AFA">
      <w:pPr>
        <w:spacing w:before="240" w:line="360" w:lineRule="auto"/>
        <w:ind w:left="851" w:hanging="284"/>
        <w:jc w:val="both"/>
        <w:rPr>
          <w:rFonts w:ascii="Bookman Old Style" w:hAnsi="Bookman Old Style"/>
          <w:sz w:val="24"/>
          <w:szCs w:val="24"/>
        </w:rPr>
      </w:pPr>
      <w:r>
        <w:rPr>
          <w:rFonts w:ascii="Bookman Old Style" w:hAnsi="Bookman Old Style"/>
          <w:b/>
          <w:sz w:val="24"/>
          <w:szCs w:val="24"/>
        </w:rPr>
        <w:t xml:space="preserve">β) </w:t>
      </w:r>
      <w:r>
        <w:rPr>
          <w:rFonts w:ascii="Bookman Old Style" w:hAnsi="Bookman Old Style"/>
          <w:sz w:val="24"/>
          <w:szCs w:val="24"/>
        </w:rPr>
        <w:t xml:space="preserve">Ακόμη πιο ανησυχητικά, ως προς το μείζον ζήτημα της δεσμευτικότητας των αποφάσεων του ΔΕΕ -και, επομένως, της υπεροχής του Ευρωπαϊκού Δικαίου- ήταν για το Λουξεμβούργο τα μηνύματα ορισμένων αποφάσεων Ανωτάτων Δικαστηρίων Κρατών-Μελών, μέσω των οποίων η δεσμευτικότητα αυτή είχε αμφισβητηθεί, σχεδόν ευθέως.  Το </w:t>
      </w:r>
      <w:r w:rsidR="00633F4C">
        <w:rPr>
          <w:rFonts w:ascii="Bookman Old Style" w:hAnsi="Bookman Old Style"/>
          <w:sz w:val="24"/>
          <w:szCs w:val="24"/>
        </w:rPr>
        <w:t>γιατί</w:t>
      </w:r>
      <w:r>
        <w:rPr>
          <w:rFonts w:ascii="Bookman Old Style" w:hAnsi="Bookman Old Style"/>
          <w:sz w:val="24"/>
          <w:szCs w:val="24"/>
        </w:rPr>
        <w:t xml:space="preserve"> το ΔΕΕ υποτίμησε την σημασία τέτοιων αποφάσεων ίσως να οφείλετ</w:t>
      </w:r>
      <w:r w:rsidR="00361582">
        <w:rPr>
          <w:rFonts w:ascii="Bookman Old Style" w:hAnsi="Bookman Old Style"/>
          <w:sz w:val="24"/>
          <w:szCs w:val="24"/>
        </w:rPr>
        <w:t>αι</w:t>
      </w:r>
      <w:r>
        <w:rPr>
          <w:rFonts w:ascii="Bookman Old Style" w:hAnsi="Bookman Old Style"/>
          <w:sz w:val="24"/>
          <w:szCs w:val="24"/>
        </w:rPr>
        <w:t xml:space="preserve"> στο ότι, όπως εκτίθεται στην συνέχεια, ε</w:t>
      </w:r>
      <w:r w:rsidR="004813E0">
        <w:rPr>
          <w:rFonts w:ascii="Bookman Old Style" w:hAnsi="Bookman Old Style"/>
          <w:sz w:val="24"/>
          <w:szCs w:val="24"/>
        </w:rPr>
        <w:t>πρόκειτο για αποφάσεις Κρατών-Μελών που</w:t>
      </w:r>
      <w:r w:rsidR="00633F4C">
        <w:rPr>
          <w:rFonts w:ascii="Bookman Old Style" w:hAnsi="Bookman Old Style"/>
          <w:sz w:val="24"/>
          <w:szCs w:val="24"/>
        </w:rPr>
        <w:t xml:space="preserve">, κατά την κρίση του ΔΕΕ, δεν έχουν την έκταση επιρροής </w:t>
      </w:r>
      <w:r w:rsidR="004813E0">
        <w:rPr>
          <w:rFonts w:ascii="Bookman Old Style" w:hAnsi="Bookman Old Style"/>
          <w:sz w:val="24"/>
          <w:szCs w:val="24"/>
        </w:rPr>
        <w:t>του Ομοσπονδιακού Δικαστηρίου της Γερμανίας.  Αν ισχύει η εκδοχή αυτή</w:t>
      </w:r>
      <w:r w:rsidR="00633F4C">
        <w:rPr>
          <w:rFonts w:ascii="Bookman Old Style" w:hAnsi="Bookman Old Style"/>
          <w:sz w:val="24"/>
          <w:szCs w:val="24"/>
        </w:rPr>
        <w:t>,</w:t>
      </w:r>
      <w:r w:rsidR="004813E0">
        <w:rPr>
          <w:rFonts w:ascii="Bookman Old Style" w:hAnsi="Bookman Old Style"/>
          <w:sz w:val="24"/>
          <w:szCs w:val="24"/>
        </w:rPr>
        <w:t xml:space="preserve"> τότε η αβελτηρία του ΔΕΕ </w:t>
      </w:r>
      <w:r w:rsidR="00633F4C">
        <w:rPr>
          <w:rFonts w:ascii="Bookman Old Style" w:hAnsi="Bookman Old Style"/>
          <w:sz w:val="24"/>
          <w:szCs w:val="24"/>
        </w:rPr>
        <w:t>εμφανίζεται</w:t>
      </w:r>
      <w:r w:rsidR="004813E0">
        <w:rPr>
          <w:rFonts w:ascii="Bookman Old Style" w:hAnsi="Bookman Old Style"/>
          <w:sz w:val="24"/>
          <w:szCs w:val="24"/>
        </w:rPr>
        <w:t xml:space="preserve"> τόσο περισσότερο επικίνδυνη, όσο σε θέματα αρχής ως προς την </w:t>
      </w:r>
      <w:r w:rsidR="00633F4C">
        <w:rPr>
          <w:rFonts w:ascii="Bookman Old Style" w:hAnsi="Bookman Old Style"/>
          <w:sz w:val="24"/>
          <w:szCs w:val="24"/>
        </w:rPr>
        <w:t xml:space="preserve">ερμηνεία και </w:t>
      </w:r>
      <w:r w:rsidR="004813E0">
        <w:rPr>
          <w:rFonts w:ascii="Bookman Old Style" w:hAnsi="Bookman Old Style"/>
          <w:sz w:val="24"/>
          <w:szCs w:val="24"/>
        </w:rPr>
        <w:t xml:space="preserve">εφαρμογή του Ευρωπαϊκού Δικαίου δεν τίθεται ζήτημα </w:t>
      </w:r>
      <w:r w:rsidR="00633F4C">
        <w:rPr>
          <w:rFonts w:ascii="Bookman Old Style" w:hAnsi="Bookman Old Style"/>
          <w:sz w:val="24"/>
          <w:szCs w:val="24"/>
        </w:rPr>
        <w:t>μεγέθους</w:t>
      </w:r>
      <w:r w:rsidR="004813E0">
        <w:rPr>
          <w:rFonts w:ascii="Bookman Old Style" w:hAnsi="Bookman Old Style"/>
          <w:sz w:val="24"/>
          <w:szCs w:val="24"/>
        </w:rPr>
        <w:t xml:space="preserve"> των Κρατών-Μελών</w:t>
      </w:r>
      <w:r w:rsidR="00633F4C">
        <w:rPr>
          <w:rFonts w:ascii="Bookman Old Style" w:hAnsi="Bookman Old Style"/>
          <w:sz w:val="24"/>
          <w:szCs w:val="24"/>
        </w:rPr>
        <w:t xml:space="preserve"> και των Δικαστηρίων τους.</w:t>
      </w:r>
      <w:r w:rsidR="004813E0">
        <w:rPr>
          <w:rFonts w:ascii="Bookman Old Style" w:hAnsi="Bookman Old Style"/>
          <w:sz w:val="24"/>
          <w:szCs w:val="24"/>
        </w:rPr>
        <w:t xml:space="preserve"> </w:t>
      </w:r>
      <w:r w:rsidR="001409A0">
        <w:rPr>
          <w:rFonts w:ascii="Bookman Old Style" w:hAnsi="Bookman Old Style"/>
          <w:sz w:val="24"/>
          <w:szCs w:val="24"/>
        </w:rPr>
        <w:t xml:space="preserve"> Είτε υπάρχει παράβαση είτε δεν υπάρχει.  Επιπλέον</w:t>
      </w:r>
      <w:r w:rsidR="00633F4C">
        <w:rPr>
          <w:rFonts w:ascii="Bookman Old Style" w:hAnsi="Bookman Old Style"/>
          <w:sz w:val="24"/>
          <w:szCs w:val="24"/>
        </w:rPr>
        <w:t>,</w:t>
      </w:r>
      <w:r w:rsidR="001409A0">
        <w:rPr>
          <w:rFonts w:ascii="Bookman Old Style" w:hAnsi="Bookman Old Style"/>
          <w:sz w:val="24"/>
          <w:szCs w:val="24"/>
        </w:rPr>
        <w:t xml:space="preserve"> όταν ανέχεσαι τέτοιες παραβάσεις κατ’ αρχήν, οφείλεις ν</w:t>
      </w:r>
      <w:r w:rsidR="00633F4C">
        <w:rPr>
          <w:rFonts w:ascii="Bookman Old Style" w:hAnsi="Bookman Old Style"/>
          <w:sz w:val="24"/>
          <w:szCs w:val="24"/>
        </w:rPr>
        <w:t>’</w:t>
      </w:r>
      <w:r w:rsidR="001409A0">
        <w:rPr>
          <w:rFonts w:ascii="Bookman Old Style" w:hAnsi="Bookman Old Style"/>
          <w:sz w:val="24"/>
          <w:szCs w:val="24"/>
        </w:rPr>
        <w:t xml:space="preserve"> αναλογίζεσαι την ρήση «εξ όνυχος τον λέοντα».  Ε</w:t>
      </w:r>
      <w:r w:rsidR="00EB5100">
        <w:rPr>
          <w:rFonts w:ascii="Bookman Old Style" w:hAnsi="Bookman Old Style"/>
          <w:sz w:val="24"/>
          <w:szCs w:val="24"/>
        </w:rPr>
        <w:t>ιδικότερα, τα προαναφερόμενα «μηνύματα» προς το ΔΕΕ έχουν «εκπέμψει»:</w:t>
      </w:r>
    </w:p>
    <w:p w:rsidR="00EB5100" w:rsidRDefault="00EB5100" w:rsidP="00303AFA">
      <w:pPr>
        <w:spacing w:before="100" w:beforeAutospacing="1" w:after="100" w:afterAutospacing="1" w:line="360" w:lineRule="auto"/>
        <w:ind w:left="1134" w:hanging="283"/>
        <w:jc w:val="both"/>
        <w:rPr>
          <w:rFonts w:ascii="Bookman Old Style" w:hAnsi="Bookman Old Style"/>
          <w:sz w:val="24"/>
          <w:szCs w:val="24"/>
        </w:rPr>
      </w:pPr>
      <w:r>
        <w:rPr>
          <w:rFonts w:ascii="Bookman Old Style" w:hAnsi="Bookman Old Style"/>
          <w:b/>
          <w:sz w:val="24"/>
          <w:szCs w:val="24"/>
        </w:rPr>
        <w:t xml:space="preserve">β1) </w:t>
      </w:r>
      <w:r>
        <w:rPr>
          <w:rFonts w:ascii="Bookman Old Style" w:hAnsi="Bookman Old Style"/>
          <w:sz w:val="24"/>
          <w:szCs w:val="24"/>
        </w:rPr>
        <w:t xml:space="preserve">Πρώτον, το Συνταγματικό Δικαστήριο της Τσεχίας.  </w:t>
      </w:r>
      <w:r w:rsidR="00633F4C">
        <w:rPr>
          <w:rFonts w:ascii="Bookman Old Style" w:hAnsi="Bookman Old Style"/>
          <w:sz w:val="24"/>
          <w:szCs w:val="24"/>
        </w:rPr>
        <w:t>Συγκεκριμένα</w:t>
      </w:r>
      <w:r>
        <w:rPr>
          <w:rFonts w:ascii="Bookman Old Style" w:hAnsi="Bookman Old Style"/>
          <w:sz w:val="24"/>
          <w:szCs w:val="24"/>
        </w:rPr>
        <w:t xml:space="preserve">, στην </w:t>
      </w:r>
      <w:r w:rsidRPr="00EB5100">
        <w:rPr>
          <w:rFonts w:ascii="Bookman Old Style" w:hAnsi="Bookman Old Style"/>
          <w:sz w:val="24"/>
          <w:szCs w:val="24"/>
        </w:rPr>
        <w:t xml:space="preserve">υπόθεση </w:t>
      </w:r>
      <w:r>
        <w:rPr>
          <w:rFonts w:ascii="Bookman Old Style" w:hAnsi="Bookman Old Style"/>
          <w:sz w:val="24"/>
          <w:szCs w:val="24"/>
        </w:rPr>
        <w:t>«</w:t>
      </w:r>
      <w:r w:rsidRPr="00EB5100">
        <w:rPr>
          <w:rFonts w:ascii="Bookman Old Style" w:hAnsi="Bookman Old Style"/>
          <w:sz w:val="24"/>
          <w:szCs w:val="24"/>
        </w:rPr>
        <w:t>Landtová</w:t>
      </w:r>
      <w:r>
        <w:rPr>
          <w:rFonts w:ascii="Bookman Old Style" w:hAnsi="Bookman Old Style"/>
          <w:sz w:val="24"/>
          <w:szCs w:val="24"/>
        </w:rPr>
        <w:t>»</w:t>
      </w:r>
      <w:r w:rsidRPr="00EB5100">
        <w:rPr>
          <w:rFonts w:ascii="Bookman Old Style" w:hAnsi="Bookman Old Style"/>
          <w:sz w:val="24"/>
          <w:szCs w:val="24"/>
        </w:rPr>
        <w:t xml:space="preserve">, η οποία αφορά την εφαρμογή του Κανονισμού 1408/71, το Συνταγματικό Δικαστήριο της Τσεχίας εξέδωσε την απόφαση της </w:t>
      </w:r>
      <w:r>
        <w:rPr>
          <w:rFonts w:ascii="Bookman Old Style" w:hAnsi="Bookman Old Style"/>
          <w:sz w:val="24"/>
          <w:szCs w:val="24"/>
        </w:rPr>
        <w:t>31/1/2012,</w:t>
      </w:r>
      <w:r w:rsidRPr="00EB5100">
        <w:rPr>
          <w:rFonts w:ascii="Bookman Old Style" w:hAnsi="Bookman Old Style"/>
          <w:sz w:val="24"/>
          <w:szCs w:val="24"/>
        </w:rPr>
        <w:t xml:space="preserve"> (Pl. ÚS 5/12), </w:t>
      </w:r>
      <w:r w:rsidR="00633F4C">
        <w:rPr>
          <w:rFonts w:ascii="Bookman Old Style" w:hAnsi="Bookman Old Style"/>
          <w:sz w:val="24"/>
          <w:szCs w:val="24"/>
        </w:rPr>
        <w:t>με την</w:t>
      </w:r>
      <w:r w:rsidRPr="00EB5100">
        <w:rPr>
          <w:rFonts w:ascii="Bookman Old Style" w:hAnsi="Bookman Old Style"/>
          <w:sz w:val="24"/>
          <w:szCs w:val="24"/>
        </w:rPr>
        <w:t xml:space="preserve"> οποία </w:t>
      </w:r>
      <w:r w:rsidR="00633F4C">
        <w:rPr>
          <w:rFonts w:ascii="Bookman Old Style" w:hAnsi="Bookman Old Style"/>
          <w:sz w:val="24"/>
          <w:szCs w:val="24"/>
        </w:rPr>
        <w:t>έκρινε</w:t>
      </w:r>
      <w:r w:rsidRPr="00EB5100">
        <w:rPr>
          <w:rFonts w:ascii="Bookman Old Style" w:hAnsi="Bookman Old Style"/>
          <w:sz w:val="24"/>
          <w:szCs w:val="24"/>
        </w:rPr>
        <w:t xml:space="preserve"> ότι το ΔΕΕ, εκδίδοντας την απόφαση της </w:t>
      </w:r>
      <w:r>
        <w:rPr>
          <w:rFonts w:ascii="Bookman Old Style" w:hAnsi="Bookman Old Style"/>
          <w:sz w:val="24"/>
          <w:szCs w:val="24"/>
        </w:rPr>
        <w:t>22/6/</w:t>
      </w:r>
      <w:r w:rsidRPr="00EB5100">
        <w:rPr>
          <w:rFonts w:ascii="Bookman Old Style" w:hAnsi="Bookman Old Style"/>
          <w:sz w:val="24"/>
          <w:szCs w:val="24"/>
        </w:rPr>
        <w:t>2011 (C-399/09)</w:t>
      </w:r>
      <w:r w:rsidR="00633F4C">
        <w:rPr>
          <w:rFonts w:ascii="Bookman Old Style" w:hAnsi="Bookman Old Style"/>
          <w:sz w:val="24"/>
          <w:szCs w:val="24"/>
        </w:rPr>
        <w:t xml:space="preserve"> για την ίδια υπόθεση,</w:t>
      </w:r>
      <w:r w:rsidRPr="00EB5100">
        <w:rPr>
          <w:rFonts w:ascii="Bookman Old Style" w:hAnsi="Bookman Old Style"/>
          <w:sz w:val="24"/>
          <w:szCs w:val="24"/>
        </w:rPr>
        <w:t xml:space="preserve"> υπερέβη την </w:t>
      </w:r>
      <w:r>
        <w:rPr>
          <w:rFonts w:ascii="Bookman Old Style" w:hAnsi="Bookman Old Style"/>
          <w:sz w:val="24"/>
          <w:szCs w:val="24"/>
        </w:rPr>
        <w:t xml:space="preserve">δικαιοδοσία </w:t>
      </w:r>
      <w:r w:rsidRPr="00EB5100">
        <w:rPr>
          <w:rFonts w:ascii="Bookman Old Style" w:hAnsi="Bookman Old Style"/>
          <w:sz w:val="24"/>
          <w:szCs w:val="24"/>
        </w:rPr>
        <w:t>του (</w:t>
      </w:r>
      <w:r w:rsidR="00633F4C">
        <w:rPr>
          <w:rFonts w:ascii="Bookman Old Style" w:hAnsi="Bookman Old Style"/>
          <w:sz w:val="24"/>
          <w:szCs w:val="24"/>
        </w:rPr>
        <w:t>«</w:t>
      </w:r>
      <w:r w:rsidRPr="00EB5100">
        <w:rPr>
          <w:rFonts w:ascii="Bookman Old Style" w:hAnsi="Bookman Old Style"/>
          <w:sz w:val="24"/>
          <w:szCs w:val="24"/>
        </w:rPr>
        <w:t>ultra vires</w:t>
      </w:r>
      <w:r w:rsidR="00633F4C">
        <w:rPr>
          <w:rFonts w:ascii="Bookman Old Style" w:hAnsi="Bookman Old Style"/>
          <w:sz w:val="24"/>
          <w:szCs w:val="24"/>
        </w:rPr>
        <w:t>»</w:t>
      </w:r>
      <w:r w:rsidRPr="00EB5100">
        <w:rPr>
          <w:rFonts w:ascii="Bookman Old Style" w:hAnsi="Bookman Old Style"/>
          <w:sz w:val="24"/>
          <w:szCs w:val="24"/>
        </w:rPr>
        <w:t xml:space="preserve">). </w:t>
      </w:r>
    </w:p>
    <w:p w:rsidR="00EB5100" w:rsidRDefault="00EB5100" w:rsidP="00303AFA">
      <w:pPr>
        <w:spacing w:before="100" w:beforeAutospacing="1" w:after="100" w:afterAutospacing="1" w:line="360" w:lineRule="auto"/>
        <w:ind w:left="1134" w:hanging="283"/>
        <w:jc w:val="both"/>
        <w:rPr>
          <w:rFonts w:ascii="Bookman Old Style" w:hAnsi="Bookman Old Style"/>
          <w:sz w:val="24"/>
          <w:szCs w:val="24"/>
        </w:rPr>
      </w:pPr>
      <w:r>
        <w:rPr>
          <w:rFonts w:ascii="Bookman Old Style" w:hAnsi="Bookman Old Style"/>
          <w:b/>
          <w:sz w:val="24"/>
          <w:szCs w:val="24"/>
        </w:rPr>
        <w:lastRenderedPageBreak/>
        <w:t xml:space="preserve">β2) </w:t>
      </w:r>
      <w:r>
        <w:rPr>
          <w:rFonts w:ascii="Bookman Old Style" w:hAnsi="Bookman Old Style"/>
          <w:sz w:val="24"/>
          <w:szCs w:val="24"/>
        </w:rPr>
        <w:t xml:space="preserve">Δεύτερον, το Ανώτατο Δικαστήριο της Δανίας.  </w:t>
      </w:r>
      <w:r w:rsidR="00633F4C">
        <w:rPr>
          <w:rFonts w:ascii="Bookman Old Style" w:hAnsi="Bookman Old Style"/>
          <w:sz w:val="24"/>
          <w:szCs w:val="24"/>
        </w:rPr>
        <w:t>Συγκεκριμένα</w:t>
      </w:r>
      <w:r w:rsidR="00C42A7A">
        <w:rPr>
          <w:rFonts w:ascii="Bookman Old Style" w:hAnsi="Bookman Old Style"/>
          <w:sz w:val="24"/>
          <w:szCs w:val="24"/>
        </w:rPr>
        <w:t>,</w:t>
      </w:r>
      <w:r w:rsidR="00633F4C">
        <w:rPr>
          <w:rFonts w:ascii="Bookman Old Style" w:hAnsi="Bookman Old Style"/>
          <w:sz w:val="24"/>
          <w:szCs w:val="24"/>
        </w:rPr>
        <w:t xml:space="preserve"> με την </w:t>
      </w:r>
      <w:r w:rsidRPr="00EB5100">
        <w:rPr>
          <w:rFonts w:ascii="Bookman Old Style" w:hAnsi="Bookman Old Style"/>
          <w:sz w:val="24"/>
          <w:szCs w:val="24"/>
        </w:rPr>
        <w:t xml:space="preserve">απόφασή του, της </w:t>
      </w:r>
      <w:r>
        <w:rPr>
          <w:rFonts w:ascii="Bookman Old Style" w:hAnsi="Bookman Old Style"/>
          <w:sz w:val="24"/>
          <w:szCs w:val="24"/>
        </w:rPr>
        <w:t>6/12/</w:t>
      </w:r>
      <w:r w:rsidRPr="00EB5100">
        <w:rPr>
          <w:rFonts w:ascii="Bookman Old Style" w:hAnsi="Bookman Old Style"/>
          <w:sz w:val="24"/>
          <w:szCs w:val="24"/>
        </w:rPr>
        <w:t xml:space="preserve">2016, στην υπόθεση </w:t>
      </w:r>
      <w:r>
        <w:rPr>
          <w:rFonts w:ascii="Bookman Old Style" w:hAnsi="Bookman Old Style"/>
          <w:sz w:val="24"/>
          <w:szCs w:val="24"/>
        </w:rPr>
        <w:t>«</w:t>
      </w:r>
      <w:r w:rsidRPr="00EB5100">
        <w:rPr>
          <w:rFonts w:ascii="Bookman Old Style" w:hAnsi="Bookman Old Style"/>
          <w:sz w:val="24"/>
          <w:szCs w:val="24"/>
        </w:rPr>
        <w:t>Ajos</w:t>
      </w:r>
      <w:r>
        <w:rPr>
          <w:rFonts w:ascii="Bookman Old Style" w:hAnsi="Bookman Old Style"/>
          <w:sz w:val="24"/>
          <w:szCs w:val="24"/>
        </w:rPr>
        <w:t>»</w:t>
      </w:r>
      <w:r w:rsidRPr="00EB5100">
        <w:rPr>
          <w:rFonts w:ascii="Bookman Old Style" w:hAnsi="Bookman Old Style"/>
          <w:sz w:val="24"/>
          <w:szCs w:val="24"/>
        </w:rPr>
        <w:t xml:space="preserve"> (υπόθεση n°15/2014, Dansk Industri [DI] acting for Ajos A/S</w:t>
      </w:r>
      <w:r w:rsidR="00633F4C">
        <w:rPr>
          <w:rFonts w:ascii="Bookman Old Style" w:hAnsi="Bookman Old Style"/>
          <w:sz w:val="24"/>
          <w:szCs w:val="24"/>
        </w:rPr>
        <w:t>),</w:t>
      </w:r>
      <w:r w:rsidRPr="00EB5100">
        <w:rPr>
          <w:rFonts w:ascii="Bookman Old Style" w:hAnsi="Bookman Old Style"/>
          <w:sz w:val="24"/>
          <w:szCs w:val="24"/>
        </w:rPr>
        <w:t xml:space="preserve"> το Ανώτατο Δικαστήριο της Δανίας αρνήθηκε να εφαρμόσει την απόφαση του ΔΕΕ, της </w:t>
      </w:r>
      <w:r>
        <w:rPr>
          <w:rFonts w:ascii="Bookman Old Style" w:hAnsi="Bookman Old Style"/>
          <w:sz w:val="24"/>
          <w:szCs w:val="24"/>
        </w:rPr>
        <w:t>19/4/2016</w:t>
      </w:r>
      <w:r w:rsidRPr="00EB5100">
        <w:rPr>
          <w:rFonts w:ascii="Bookman Old Style" w:hAnsi="Bookman Old Style"/>
          <w:sz w:val="24"/>
          <w:szCs w:val="24"/>
        </w:rPr>
        <w:t xml:space="preserve"> (C-441/14), η οποία αφορούσε μία περίπτωση δυσμενούς διάκρισης λόγω ηλικίας (Οδηγία 2000/78/ΕΚ).</w:t>
      </w:r>
    </w:p>
    <w:p w:rsidR="000A12E4" w:rsidRPr="000A12E4" w:rsidRDefault="000A12E4" w:rsidP="000A12E4">
      <w:pPr>
        <w:pStyle w:val="a3"/>
        <w:numPr>
          <w:ilvl w:val="0"/>
          <w:numId w:val="8"/>
        </w:numPr>
        <w:spacing w:before="100" w:beforeAutospacing="1" w:after="100" w:afterAutospacing="1" w:line="360" w:lineRule="auto"/>
        <w:jc w:val="both"/>
        <w:rPr>
          <w:rFonts w:ascii="Bookman Old Style" w:hAnsi="Bookman Old Style"/>
          <w:sz w:val="24"/>
          <w:szCs w:val="24"/>
        </w:rPr>
      </w:pPr>
      <w:r>
        <w:rPr>
          <w:rFonts w:ascii="Bookman Old Style" w:hAnsi="Bookman Old Style"/>
          <w:b/>
          <w:sz w:val="24"/>
          <w:szCs w:val="24"/>
        </w:rPr>
        <w:t>Οι ευθύνες του ΔΕΕ.</w:t>
      </w:r>
    </w:p>
    <w:p w:rsidR="00EB5100" w:rsidRPr="000A12E4" w:rsidRDefault="00EB5100" w:rsidP="000A12E4">
      <w:pPr>
        <w:pStyle w:val="a3"/>
        <w:spacing w:before="100" w:beforeAutospacing="1" w:after="100" w:afterAutospacing="1" w:line="360" w:lineRule="auto"/>
        <w:ind w:left="851" w:hanging="131"/>
        <w:jc w:val="both"/>
        <w:rPr>
          <w:rFonts w:ascii="Bookman Old Style" w:hAnsi="Bookman Old Style"/>
          <w:sz w:val="24"/>
          <w:szCs w:val="24"/>
        </w:rPr>
      </w:pPr>
      <w:r w:rsidRPr="000A12E4">
        <w:rPr>
          <w:rFonts w:ascii="Bookman Old Style" w:hAnsi="Bookman Old Style"/>
          <w:sz w:val="24"/>
          <w:szCs w:val="24"/>
        </w:rPr>
        <w:t>Τέλος -όπερ όμως είναι και σπουδαιότερο- το ΔΕΕ δεν μπορεί και δεν πρέπει να αισθάνεται «αιφνιδιασμένο» από την κατά τ’ ανωτέρω «αιρετική» νομολογιακή πορεία του Ομοσπονδιακού Συνταγματικού Δικαστηρίου της Γερμανίας</w:t>
      </w:r>
      <w:r w:rsidR="00633F4C" w:rsidRPr="000A12E4">
        <w:rPr>
          <w:rFonts w:ascii="Bookman Old Style" w:hAnsi="Bookman Old Style"/>
          <w:sz w:val="24"/>
          <w:szCs w:val="24"/>
        </w:rPr>
        <w:t>,</w:t>
      </w:r>
      <w:r w:rsidRPr="000A12E4">
        <w:rPr>
          <w:rFonts w:ascii="Bookman Old Style" w:hAnsi="Bookman Old Style"/>
          <w:sz w:val="24"/>
          <w:szCs w:val="24"/>
        </w:rPr>
        <w:t xml:space="preserve"> όπως αυτή εκτείνεται κυρίως </w:t>
      </w:r>
      <w:r w:rsidR="008B43AD" w:rsidRPr="000A12E4">
        <w:rPr>
          <w:rFonts w:ascii="Bookman Old Style" w:hAnsi="Bookman Old Style"/>
          <w:sz w:val="24"/>
          <w:szCs w:val="24"/>
        </w:rPr>
        <w:t>από την υπόθεση «</w:t>
      </w:r>
      <w:r w:rsidR="008B43AD" w:rsidRPr="000A12E4">
        <w:rPr>
          <w:rFonts w:ascii="Bookman Old Style" w:hAnsi="Bookman Old Style"/>
          <w:sz w:val="24"/>
          <w:szCs w:val="24"/>
          <w:lang w:val="en-US"/>
        </w:rPr>
        <w:t>Gauweiler</w:t>
      </w:r>
      <w:r w:rsidR="008B43AD" w:rsidRPr="000A12E4">
        <w:rPr>
          <w:rFonts w:ascii="Bookman Old Style" w:hAnsi="Bookman Old Style"/>
          <w:sz w:val="24"/>
          <w:szCs w:val="24"/>
        </w:rPr>
        <w:t>» του 2016 ως την υπόθεση «</w:t>
      </w:r>
      <w:r w:rsidR="008B43AD" w:rsidRPr="000A12E4">
        <w:rPr>
          <w:rFonts w:ascii="Bookman Old Style" w:hAnsi="Bookman Old Style"/>
          <w:sz w:val="24"/>
          <w:szCs w:val="24"/>
          <w:lang w:val="en-US"/>
        </w:rPr>
        <w:t>Weiss</w:t>
      </w:r>
      <w:r w:rsidR="008B43AD" w:rsidRPr="000A12E4">
        <w:rPr>
          <w:rFonts w:ascii="Bookman Old Style" w:hAnsi="Bookman Old Style"/>
          <w:sz w:val="24"/>
          <w:szCs w:val="24"/>
        </w:rPr>
        <w:t xml:space="preserve">» του 2020.  Και τούτο διότι φέρει μεγάλο μέρος ευθύνης ως προς το ότι, με την ανεκτική ως υποχωρητική στάση του έναντι των πραγματικών προθέσεων του Ομοσπονδιακού Συνταγματικού Δικαστηρίου της Γερμανίας, ουσιαστικά το διευκόλυνε στο να φέρει το ΔΕΕ </w:t>
      </w:r>
      <w:r w:rsidR="00512A65" w:rsidRPr="000A12E4">
        <w:rPr>
          <w:rFonts w:ascii="Bookman Old Style" w:hAnsi="Bookman Old Style"/>
          <w:sz w:val="24"/>
          <w:szCs w:val="24"/>
        </w:rPr>
        <w:t>προ του σημερινού, επικίνδυνου, θεσμικού -και όχι μόνο- αδιεξόδου, όπως συνάγεται από τα εξής:</w:t>
      </w:r>
    </w:p>
    <w:p w:rsidR="000A12E4" w:rsidRDefault="000A12E4" w:rsidP="00303AFA">
      <w:pPr>
        <w:spacing w:before="100" w:beforeAutospacing="1" w:after="100" w:afterAutospacing="1" w:line="360" w:lineRule="auto"/>
        <w:ind w:left="1134" w:hanging="283"/>
        <w:jc w:val="both"/>
        <w:rPr>
          <w:rFonts w:ascii="Bookman Old Style" w:hAnsi="Bookman Old Style"/>
          <w:sz w:val="24"/>
          <w:szCs w:val="24"/>
        </w:rPr>
      </w:pPr>
      <w:r>
        <w:rPr>
          <w:rFonts w:ascii="Bookman Old Style" w:hAnsi="Bookman Old Style"/>
          <w:b/>
          <w:sz w:val="24"/>
          <w:szCs w:val="24"/>
        </w:rPr>
        <w:t>α</w:t>
      </w:r>
      <w:r w:rsidR="00512A65">
        <w:rPr>
          <w:rFonts w:ascii="Bookman Old Style" w:hAnsi="Bookman Old Style"/>
          <w:b/>
          <w:sz w:val="24"/>
          <w:szCs w:val="24"/>
        </w:rPr>
        <w:t xml:space="preserve">) </w:t>
      </w:r>
      <w:r w:rsidR="00512A65">
        <w:rPr>
          <w:rFonts w:ascii="Bookman Old Style" w:hAnsi="Bookman Old Style"/>
          <w:sz w:val="24"/>
          <w:szCs w:val="24"/>
        </w:rPr>
        <w:t>Αναλύθηκε ήδη εκτενώς στην αρχή των αναλύσεων αυτών ότι, στο πλαίσιο της υπόθεσης «</w:t>
      </w:r>
      <w:r w:rsidR="00512A65">
        <w:rPr>
          <w:rFonts w:ascii="Bookman Old Style" w:hAnsi="Bookman Old Style"/>
          <w:sz w:val="24"/>
          <w:szCs w:val="24"/>
          <w:lang w:val="en-US"/>
        </w:rPr>
        <w:t>Gauweiler</w:t>
      </w:r>
      <w:r w:rsidR="00512A65">
        <w:rPr>
          <w:rFonts w:ascii="Bookman Old Style" w:hAnsi="Bookman Old Style"/>
          <w:sz w:val="24"/>
          <w:szCs w:val="24"/>
        </w:rPr>
        <w:t>» του 2016</w:t>
      </w:r>
      <w:r w:rsidR="00633F4C">
        <w:rPr>
          <w:rFonts w:ascii="Bookman Old Style" w:hAnsi="Bookman Old Style"/>
          <w:sz w:val="24"/>
          <w:szCs w:val="24"/>
        </w:rPr>
        <w:t>,</w:t>
      </w:r>
      <w:r w:rsidR="00512A65">
        <w:rPr>
          <w:rFonts w:ascii="Bookman Old Style" w:hAnsi="Bookman Old Style"/>
          <w:sz w:val="24"/>
          <w:szCs w:val="24"/>
        </w:rPr>
        <w:t xml:space="preserve"> το Ομοσπονδιακό Συνταγματικό Δικαστήριο της Γερμανίας απηύθυνε</w:t>
      </w:r>
      <w:r w:rsidR="00633F4C">
        <w:rPr>
          <w:rFonts w:ascii="Bookman Old Style" w:hAnsi="Bookman Old Style"/>
          <w:sz w:val="24"/>
          <w:szCs w:val="24"/>
        </w:rPr>
        <w:t>,</w:t>
      </w:r>
      <w:r w:rsidR="00512A65">
        <w:rPr>
          <w:rFonts w:ascii="Bookman Old Style" w:hAnsi="Bookman Old Style"/>
          <w:sz w:val="24"/>
          <w:szCs w:val="24"/>
        </w:rPr>
        <w:t xml:space="preserve"> για πρώτη φορά στην δικαιοδοτική του παράδοση</w:t>
      </w:r>
      <w:r w:rsidR="00633F4C">
        <w:rPr>
          <w:rFonts w:ascii="Bookman Old Style" w:hAnsi="Bookman Old Style"/>
          <w:sz w:val="24"/>
          <w:szCs w:val="24"/>
        </w:rPr>
        <w:t>,</w:t>
      </w:r>
      <w:r w:rsidR="00512A65">
        <w:rPr>
          <w:rFonts w:ascii="Bookman Old Style" w:hAnsi="Bookman Old Style"/>
          <w:sz w:val="24"/>
          <w:szCs w:val="24"/>
        </w:rPr>
        <w:t xml:space="preserve"> προδικαστικό ερώτημα στο ΔΕΕ.  Με άλλες λέξεις, τότε το δικαστήριο της Καρλσ</w:t>
      </w:r>
      <w:r w:rsidR="00F53089">
        <w:rPr>
          <w:rFonts w:ascii="Bookman Old Style" w:hAnsi="Bookman Old Style"/>
          <w:sz w:val="24"/>
          <w:szCs w:val="24"/>
        </w:rPr>
        <w:t>ρ</w:t>
      </w:r>
      <w:r w:rsidR="00512A65">
        <w:rPr>
          <w:rFonts w:ascii="Bookman Old Style" w:hAnsi="Bookman Old Style"/>
          <w:sz w:val="24"/>
          <w:szCs w:val="24"/>
        </w:rPr>
        <w:t xml:space="preserve">ούης για πρώτη φορά έκανε </w:t>
      </w:r>
      <w:r w:rsidR="00633F4C">
        <w:rPr>
          <w:rFonts w:ascii="Bookman Old Style" w:hAnsi="Bookman Old Style"/>
          <w:sz w:val="24"/>
          <w:szCs w:val="24"/>
        </w:rPr>
        <w:t>χ</w:t>
      </w:r>
      <w:r w:rsidR="00512A65">
        <w:rPr>
          <w:rFonts w:ascii="Bookman Old Style" w:hAnsi="Bookman Old Style"/>
          <w:sz w:val="24"/>
          <w:szCs w:val="24"/>
        </w:rPr>
        <w:t xml:space="preserve">ρήση των διατάξεων του άρθρου 267 της ΣΛΕΕ.  </w:t>
      </w:r>
    </w:p>
    <w:p w:rsidR="000A12E4" w:rsidRDefault="000A12E4" w:rsidP="000A12E4">
      <w:pPr>
        <w:spacing w:before="100" w:beforeAutospacing="1" w:after="100" w:afterAutospacing="1" w:line="360" w:lineRule="auto"/>
        <w:ind w:left="1418" w:hanging="284"/>
        <w:jc w:val="both"/>
        <w:rPr>
          <w:rFonts w:ascii="Bookman Old Style" w:hAnsi="Bookman Old Style"/>
          <w:sz w:val="24"/>
          <w:szCs w:val="24"/>
        </w:rPr>
      </w:pPr>
      <w:r>
        <w:rPr>
          <w:rFonts w:ascii="Bookman Old Style" w:hAnsi="Bookman Old Style"/>
          <w:b/>
          <w:sz w:val="24"/>
          <w:szCs w:val="24"/>
        </w:rPr>
        <w:t xml:space="preserve">α1) </w:t>
      </w:r>
      <w:r w:rsidR="00512A65">
        <w:rPr>
          <w:rFonts w:ascii="Bookman Old Style" w:hAnsi="Bookman Old Style"/>
          <w:sz w:val="24"/>
          <w:szCs w:val="24"/>
        </w:rPr>
        <w:t>Όμως, κατ’ αυτή την «πρώτη φορά»</w:t>
      </w:r>
      <w:r w:rsidR="00633F4C">
        <w:rPr>
          <w:rFonts w:ascii="Bookman Old Style" w:hAnsi="Bookman Old Style"/>
          <w:sz w:val="24"/>
          <w:szCs w:val="24"/>
        </w:rPr>
        <w:t>,</w:t>
      </w:r>
      <w:r w:rsidR="00512A65">
        <w:rPr>
          <w:rFonts w:ascii="Bookman Old Style" w:hAnsi="Bookman Old Style"/>
          <w:sz w:val="24"/>
          <w:szCs w:val="24"/>
        </w:rPr>
        <w:t xml:space="preserve"> το Ομοσπονδιακό Συνταγματικό Δικαστήριο της Γερμανίας κάθε άλλο παρά ακολούθησε την τακτική των λοιπών Εθνικών Δικαστηρίων των Κρατών-Μελών της Ευρωπαϊκής Ένωσης, η οποία έχει ως σήμερα παραμ</w:t>
      </w:r>
      <w:r w:rsidR="00633F4C">
        <w:rPr>
          <w:rFonts w:ascii="Bookman Old Style" w:hAnsi="Bookman Old Style"/>
          <w:sz w:val="24"/>
          <w:szCs w:val="24"/>
        </w:rPr>
        <w:t>εί</w:t>
      </w:r>
      <w:r w:rsidR="00512A65">
        <w:rPr>
          <w:rFonts w:ascii="Bookman Old Style" w:hAnsi="Bookman Old Style"/>
          <w:sz w:val="24"/>
          <w:szCs w:val="24"/>
        </w:rPr>
        <w:t xml:space="preserve">νει πιστή στην εφαρμογή των διατάξεων του </w:t>
      </w:r>
      <w:r w:rsidR="00512A65">
        <w:rPr>
          <w:rFonts w:ascii="Bookman Old Style" w:hAnsi="Bookman Old Style"/>
          <w:sz w:val="24"/>
          <w:szCs w:val="24"/>
        </w:rPr>
        <w:lastRenderedPageBreak/>
        <w:t xml:space="preserve">άρθρου 267 της ΣΛΕΕ κατά το γράμμα αλλά και το πνεύμα τους, ήτοι στην εφαρμογή εκείνη, η οποία κατατείνει στην υποβολή </w:t>
      </w:r>
      <w:r w:rsidR="009E029B">
        <w:rPr>
          <w:rFonts w:ascii="Bookman Old Style" w:hAnsi="Bookman Old Style"/>
          <w:sz w:val="24"/>
          <w:szCs w:val="24"/>
        </w:rPr>
        <w:t>«γνήσιων» προδικαστικών ερωτημάτων.  Σε αντίθεση προς την τακτική αυτή, το Δικαστήριο της Καρλσρούης, με απροκάλυπτο τρόπο -τόσο στην υπόθεση «</w:t>
      </w:r>
      <w:r w:rsidR="009E029B">
        <w:rPr>
          <w:rFonts w:ascii="Bookman Old Style" w:hAnsi="Bookman Old Style"/>
          <w:sz w:val="24"/>
          <w:szCs w:val="24"/>
          <w:lang w:val="en-US"/>
        </w:rPr>
        <w:t>Gauweiler</w:t>
      </w:r>
      <w:r w:rsidR="009E029B">
        <w:rPr>
          <w:rFonts w:ascii="Bookman Old Style" w:hAnsi="Bookman Old Style"/>
          <w:sz w:val="24"/>
          <w:szCs w:val="24"/>
        </w:rPr>
        <w:t>» όσο και, μετέπειτα, στην υπόθεση «</w:t>
      </w:r>
      <w:r w:rsidR="009E029B">
        <w:rPr>
          <w:rFonts w:ascii="Bookman Old Style" w:hAnsi="Bookman Old Style"/>
          <w:sz w:val="24"/>
          <w:szCs w:val="24"/>
          <w:lang w:val="en-US"/>
        </w:rPr>
        <w:t>Weiss</w:t>
      </w:r>
      <w:r w:rsidR="009E029B">
        <w:rPr>
          <w:rFonts w:ascii="Bookman Old Style" w:hAnsi="Bookman Old Style"/>
          <w:sz w:val="24"/>
          <w:szCs w:val="24"/>
        </w:rPr>
        <w:t>» απηύθυνε στο ΔΕΕ ένα «οιονεί προδικαστικό ερώτημα»</w:t>
      </w:r>
      <w:r w:rsidR="00633F4C">
        <w:rPr>
          <w:rFonts w:ascii="Bookman Old Style" w:hAnsi="Bookman Old Style"/>
          <w:sz w:val="24"/>
          <w:szCs w:val="24"/>
        </w:rPr>
        <w:t xml:space="preserve">. </w:t>
      </w:r>
      <w:r w:rsidR="009E029B">
        <w:rPr>
          <w:rFonts w:ascii="Bookman Old Style" w:hAnsi="Bookman Old Style"/>
          <w:sz w:val="24"/>
          <w:szCs w:val="24"/>
        </w:rPr>
        <w:t xml:space="preserve"> </w:t>
      </w:r>
      <w:r w:rsidR="00633F4C">
        <w:rPr>
          <w:rFonts w:ascii="Bookman Old Style" w:hAnsi="Bookman Old Style"/>
          <w:sz w:val="24"/>
          <w:szCs w:val="24"/>
        </w:rPr>
        <w:t>Μ</w:t>
      </w:r>
      <w:r w:rsidR="009E029B">
        <w:rPr>
          <w:rFonts w:ascii="Bookman Old Style" w:hAnsi="Bookman Old Style"/>
          <w:sz w:val="24"/>
          <w:szCs w:val="24"/>
        </w:rPr>
        <w:t xml:space="preserve">ε την έννοια ότι τα ερωτήματά του ζητούσαν, </w:t>
      </w:r>
      <w:r w:rsidR="003253F6">
        <w:rPr>
          <w:rFonts w:ascii="Bookman Old Style" w:hAnsi="Bookman Old Style"/>
          <w:sz w:val="24"/>
          <w:szCs w:val="24"/>
        </w:rPr>
        <w:t xml:space="preserve">κατ’ ουσίαν και κατ’ αποτέλεσμα, από το ΔΕΕ να εκφράσει ένα είδος </w:t>
      </w:r>
      <w:r w:rsidR="007F3616">
        <w:rPr>
          <w:rFonts w:ascii="Bookman Old Style" w:hAnsi="Bookman Old Style"/>
          <w:sz w:val="24"/>
          <w:szCs w:val="24"/>
        </w:rPr>
        <w:t xml:space="preserve">απλής γνώμης επί των συγκεκριμένων ζητημάτων ερμηνείας και εφαρμογής του Ευρωπαϊκού Δικαίου, στο πεδίο των προγραμμάτων ΟΜΤ και </w:t>
      </w:r>
      <w:r w:rsidR="007F3616">
        <w:rPr>
          <w:rFonts w:ascii="Bookman Old Style" w:hAnsi="Bookman Old Style"/>
          <w:sz w:val="24"/>
          <w:szCs w:val="24"/>
          <w:lang w:val="en-US"/>
        </w:rPr>
        <w:t>PSPP</w:t>
      </w:r>
      <w:r w:rsidR="007F3616">
        <w:rPr>
          <w:rFonts w:ascii="Bookman Old Style" w:hAnsi="Bookman Old Style"/>
          <w:sz w:val="24"/>
          <w:szCs w:val="24"/>
        </w:rPr>
        <w:t xml:space="preserve"> αντιστοίχως. </w:t>
      </w:r>
      <w:r w:rsidR="00B43A8B">
        <w:rPr>
          <w:rFonts w:ascii="Bookman Old Style" w:hAnsi="Bookman Old Style"/>
          <w:sz w:val="24"/>
          <w:szCs w:val="24"/>
        </w:rPr>
        <w:t xml:space="preserve"> </w:t>
      </w:r>
    </w:p>
    <w:p w:rsidR="00512A65" w:rsidRDefault="000A12E4" w:rsidP="000A12E4">
      <w:pPr>
        <w:spacing w:before="100" w:beforeAutospacing="1" w:after="100" w:afterAutospacing="1" w:line="360" w:lineRule="auto"/>
        <w:ind w:left="1418" w:hanging="284"/>
        <w:jc w:val="both"/>
        <w:rPr>
          <w:rFonts w:ascii="Bookman Old Style" w:hAnsi="Bookman Old Style"/>
          <w:sz w:val="24"/>
          <w:szCs w:val="24"/>
        </w:rPr>
      </w:pPr>
      <w:r>
        <w:rPr>
          <w:rFonts w:ascii="Bookman Old Style" w:hAnsi="Bookman Old Style"/>
          <w:b/>
          <w:sz w:val="24"/>
          <w:szCs w:val="24"/>
        </w:rPr>
        <w:t>α2)</w:t>
      </w:r>
      <w:r w:rsidR="00B43A8B">
        <w:rPr>
          <w:rFonts w:ascii="Bookman Old Style" w:hAnsi="Bookman Old Style"/>
          <w:sz w:val="24"/>
          <w:szCs w:val="24"/>
        </w:rPr>
        <w:t>Πραγματικά</w:t>
      </w:r>
      <w:r w:rsidR="00633F4C">
        <w:rPr>
          <w:rFonts w:ascii="Bookman Old Style" w:hAnsi="Bookman Old Style"/>
          <w:sz w:val="24"/>
          <w:szCs w:val="24"/>
        </w:rPr>
        <w:t>,</w:t>
      </w:r>
      <w:r w:rsidR="00B43A8B">
        <w:rPr>
          <w:rFonts w:ascii="Bookman Old Style" w:hAnsi="Bookman Old Style"/>
          <w:sz w:val="24"/>
          <w:szCs w:val="24"/>
        </w:rPr>
        <w:t xml:space="preserve"> το Ομοσπονδιακό Συνταγματικό Δικαστήριο της Γερμανίας άφησε ευθέως να νοηθεί ότι ζητούσε απλώς τις απόψεις του ΔΕΕ επί των ως άνω ζητημάτων, δίχως να δεσμεύεται από αυτές κατά την άσκηση της δικαιοδοσίας του, κρίνοντα</w:t>
      </w:r>
      <w:r w:rsidR="00255FEE">
        <w:rPr>
          <w:rFonts w:ascii="Bookman Old Style" w:hAnsi="Bookman Old Style"/>
          <w:sz w:val="24"/>
          <w:szCs w:val="24"/>
        </w:rPr>
        <w:t>ς</w:t>
      </w:r>
      <w:r w:rsidR="00B43A8B">
        <w:rPr>
          <w:rFonts w:ascii="Bookman Old Style" w:hAnsi="Bookman Old Style"/>
          <w:sz w:val="24"/>
          <w:szCs w:val="24"/>
        </w:rPr>
        <w:t xml:space="preserve"> ότι έχει τον πρώτο αλλά και τον τελευταίο λόγο δικανικής κρίσης στο πεδίο της εθνικής του νομολογίας, με προφανή στόχο την ερμηνεία των αρμοδιοτήτων της Ευρωπαϊκής Κεντρικής Τ</w:t>
      </w:r>
      <w:r w:rsidR="00712755">
        <w:rPr>
          <w:rFonts w:ascii="Bookman Old Style" w:hAnsi="Bookman Old Style"/>
          <w:sz w:val="24"/>
          <w:szCs w:val="24"/>
        </w:rPr>
        <w:t>ρά</w:t>
      </w:r>
      <w:r w:rsidR="00B43A8B">
        <w:rPr>
          <w:rFonts w:ascii="Bookman Old Style" w:hAnsi="Bookman Old Style"/>
          <w:sz w:val="24"/>
          <w:szCs w:val="24"/>
        </w:rPr>
        <w:t xml:space="preserve">πεζας </w:t>
      </w:r>
      <w:r w:rsidR="00633F4C">
        <w:rPr>
          <w:rFonts w:ascii="Bookman Old Style" w:hAnsi="Bookman Old Style"/>
          <w:sz w:val="24"/>
          <w:szCs w:val="24"/>
        </w:rPr>
        <w:t xml:space="preserve">ναι μεν κατά το γράμμα </w:t>
      </w:r>
      <w:r w:rsidR="00B43A8B">
        <w:rPr>
          <w:rFonts w:ascii="Bookman Old Style" w:hAnsi="Bookman Old Style"/>
          <w:sz w:val="24"/>
          <w:szCs w:val="24"/>
        </w:rPr>
        <w:t>και το πνεύμα του Ευρωπαϊκού Δικαίου</w:t>
      </w:r>
      <w:r w:rsidR="00633F4C">
        <w:rPr>
          <w:rFonts w:ascii="Bookman Old Style" w:hAnsi="Bookman Old Style"/>
          <w:sz w:val="24"/>
          <w:szCs w:val="24"/>
        </w:rPr>
        <w:t>,</w:t>
      </w:r>
      <w:r w:rsidR="000F77F2">
        <w:rPr>
          <w:rFonts w:ascii="Bookman Old Style" w:hAnsi="Bookman Old Style"/>
          <w:sz w:val="24"/>
          <w:szCs w:val="24"/>
        </w:rPr>
        <w:t xml:space="preserve"> προσαρμοσμένου όμως πλήρως στο γράμμα και το πνεύμα του Συντάγματος </w:t>
      </w:r>
      <w:r w:rsidR="00E51255">
        <w:rPr>
          <w:rFonts w:ascii="Bookman Old Style" w:hAnsi="Bookman Old Style"/>
          <w:sz w:val="24"/>
          <w:szCs w:val="24"/>
        </w:rPr>
        <w:t xml:space="preserve">της </w:t>
      </w:r>
      <w:r w:rsidR="000F77F2">
        <w:rPr>
          <w:rFonts w:ascii="Bookman Old Style" w:hAnsi="Bookman Old Style"/>
          <w:sz w:val="24"/>
          <w:szCs w:val="24"/>
        </w:rPr>
        <w:t>Ομοσπονδιακ</w:t>
      </w:r>
      <w:r w:rsidR="00E51255">
        <w:rPr>
          <w:rFonts w:ascii="Bookman Old Style" w:hAnsi="Bookman Old Style"/>
          <w:sz w:val="24"/>
          <w:szCs w:val="24"/>
        </w:rPr>
        <w:t>ής</w:t>
      </w:r>
      <w:r w:rsidR="000F77F2">
        <w:rPr>
          <w:rFonts w:ascii="Bookman Old Style" w:hAnsi="Bookman Old Style"/>
          <w:sz w:val="24"/>
          <w:szCs w:val="24"/>
        </w:rPr>
        <w:t xml:space="preserve"> Δ</w:t>
      </w:r>
      <w:r w:rsidR="00E51255">
        <w:rPr>
          <w:rFonts w:ascii="Bookman Old Style" w:hAnsi="Bookman Old Style"/>
          <w:sz w:val="24"/>
          <w:szCs w:val="24"/>
        </w:rPr>
        <w:t>ημοκρατίας</w:t>
      </w:r>
      <w:r w:rsidR="000F77F2">
        <w:rPr>
          <w:rFonts w:ascii="Bookman Old Style" w:hAnsi="Bookman Old Style"/>
          <w:sz w:val="24"/>
          <w:szCs w:val="24"/>
        </w:rPr>
        <w:t xml:space="preserve"> της Γερμανίας.  </w:t>
      </w:r>
      <w:r w:rsidR="00E51255">
        <w:rPr>
          <w:rFonts w:ascii="Bookman Old Style" w:hAnsi="Bookman Old Style"/>
          <w:sz w:val="24"/>
          <w:szCs w:val="24"/>
        </w:rPr>
        <w:t>Μ</w:t>
      </w:r>
      <w:r w:rsidR="000F77F2">
        <w:rPr>
          <w:rFonts w:ascii="Bookman Old Style" w:hAnsi="Bookman Old Style"/>
          <w:sz w:val="24"/>
          <w:szCs w:val="24"/>
        </w:rPr>
        <w:t xml:space="preserve">ε τον έμμεσο αυτό τρόπο το Δικαστήριο της Καρλσρούης αμφισβήτησε απροκαλύπτως -δια της αμφισβήτησης </w:t>
      </w:r>
      <w:r w:rsidR="00BB5813">
        <w:rPr>
          <w:rFonts w:ascii="Bookman Old Style" w:hAnsi="Bookman Old Style"/>
          <w:sz w:val="24"/>
          <w:szCs w:val="24"/>
        </w:rPr>
        <w:t xml:space="preserve">της δεσμευτικότητας των αποφάσεων του </w:t>
      </w:r>
      <w:r w:rsidR="00410402">
        <w:rPr>
          <w:rFonts w:ascii="Bookman Old Style" w:hAnsi="Bookman Old Style"/>
          <w:sz w:val="24"/>
          <w:szCs w:val="24"/>
        </w:rPr>
        <w:t>ΔΕΕ- την υπεροχή του Ευρωπαϊκού Δικαίου έναντι του Γερμανικού Συντάγματος.  Αυτό που προκαλεί ιδιαίτερη εντύπωση είναι το ότι, στο πλαίσιο της υπόθεσης «</w:t>
      </w:r>
      <w:r w:rsidR="00410402">
        <w:rPr>
          <w:rFonts w:ascii="Bookman Old Style" w:hAnsi="Bookman Old Style"/>
          <w:sz w:val="24"/>
          <w:szCs w:val="24"/>
          <w:lang w:val="en-US"/>
        </w:rPr>
        <w:t>Gauweiler</w:t>
      </w:r>
      <w:r w:rsidR="00410402">
        <w:rPr>
          <w:rFonts w:ascii="Bookman Old Style" w:hAnsi="Bookman Old Style"/>
          <w:sz w:val="24"/>
          <w:szCs w:val="24"/>
        </w:rPr>
        <w:t>»</w:t>
      </w:r>
      <w:r w:rsidR="00E51255">
        <w:rPr>
          <w:rFonts w:ascii="Bookman Old Style" w:hAnsi="Bookman Old Style"/>
          <w:sz w:val="24"/>
          <w:szCs w:val="24"/>
        </w:rPr>
        <w:t>,</w:t>
      </w:r>
      <w:r w:rsidR="00410402">
        <w:rPr>
          <w:rFonts w:ascii="Bookman Old Style" w:hAnsi="Bookman Old Style"/>
          <w:sz w:val="24"/>
          <w:szCs w:val="24"/>
        </w:rPr>
        <w:t xml:space="preserve"> ο Γενικός Εισαγγελέας </w:t>
      </w:r>
      <w:r w:rsidR="00410402">
        <w:rPr>
          <w:rFonts w:ascii="Bookman Old Style" w:hAnsi="Bookman Old Style"/>
          <w:sz w:val="24"/>
          <w:szCs w:val="24"/>
          <w:lang w:val="en-US"/>
        </w:rPr>
        <w:t>P</w:t>
      </w:r>
      <w:r w:rsidR="00410402" w:rsidRPr="00410402">
        <w:rPr>
          <w:rFonts w:ascii="Bookman Old Style" w:hAnsi="Bookman Old Style"/>
          <w:sz w:val="24"/>
          <w:szCs w:val="24"/>
        </w:rPr>
        <w:t xml:space="preserve">. </w:t>
      </w:r>
      <w:r w:rsidR="00410402">
        <w:rPr>
          <w:rFonts w:ascii="Bookman Old Style" w:hAnsi="Bookman Old Style"/>
          <w:sz w:val="24"/>
          <w:szCs w:val="24"/>
          <w:lang w:val="en-US"/>
        </w:rPr>
        <w:t>Cruz</w:t>
      </w:r>
      <w:r w:rsidR="00410402" w:rsidRPr="00410402">
        <w:rPr>
          <w:rFonts w:ascii="Bookman Old Style" w:hAnsi="Bookman Old Style"/>
          <w:sz w:val="24"/>
          <w:szCs w:val="24"/>
        </w:rPr>
        <w:t xml:space="preserve"> </w:t>
      </w:r>
      <w:r w:rsidR="00410402">
        <w:rPr>
          <w:rFonts w:ascii="Bookman Old Style" w:hAnsi="Bookman Old Style"/>
          <w:sz w:val="24"/>
          <w:szCs w:val="24"/>
          <w:lang w:val="en-US"/>
        </w:rPr>
        <w:t>Villal</w:t>
      </w:r>
      <w:r w:rsidR="00E51255">
        <w:rPr>
          <w:rFonts w:ascii="Bookman Old Style" w:hAnsi="Bookman Old Style"/>
          <w:sz w:val="24"/>
          <w:szCs w:val="24"/>
        </w:rPr>
        <w:t>ó</w:t>
      </w:r>
      <w:r w:rsidR="00410402">
        <w:rPr>
          <w:rFonts w:ascii="Bookman Old Style" w:hAnsi="Bookman Old Style"/>
          <w:sz w:val="24"/>
          <w:szCs w:val="24"/>
          <w:lang w:val="en-US"/>
        </w:rPr>
        <w:t>n</w:t>
      </w:r>
      <w:r w:rsidR="00410402" w:rsidRPr="00410402">
        <w:rPr>
          <w:rFonts w:ascii="Bookman Old Style" w:hAnsi="Bookman Old Style"/>
          <w:sz w:val="24"/>
          <w:szCs w:val="24"/>
        </w:rPr>
        <w:t xml:space="preserve"> </w:t>
      </w:r>
      <w:r w:rsidR="00410402">
        <w:rPr>
          <w:rFonts w:ascii="Bookman Old Style" w:hAnsi="Bookman Old Style"/>
          <w:sz w:val="24"/>
          <w:szCs w:val="24"/>
        </w:rPr>
        <w:t xml:space="preserve">είχε διαγνώσει την αντίθεση του προδικαστικού ερωτήματος του Ομοσπονδιακού Συνταγματικού Δικαστηρίου της Γερμανίας προς τις διατάξεις του άρθρου 267 της ΣΛΕΕ, </w:t>
      </w:r>
      <w:r w:rsidR="00410402">
        <w:rPr>
          <w:rFonts w:ascii="Bookman Old Style" w:hAnsi="Bookman Old Style"/>
          <w:sz w:val="24"/>
          <w:szCs w:val="24"/>
        </w:rPr>
        <w:lastRenderedPageBreak/>
        <w:t>επισημαίνοντας στην εισήγησή του τον κίνδυνο χρησιμοποίησης των προδικαστικών ερωτημάτων «</w:t>
      </w:r>
      <w:r w:rsidR="00410402" w:rsidRPr="00E51255">
        <w:rPr>
          <w:rFonts w:ascii="Bookman Old Style" w:hAnsi="Bookman Old Style"/>
          <w:i/>
          <w:sz w:val="24"/>
          <w:szCs w:val="24"/>
        </w:rPr>
        <w:t>ως εργαλείου για την επίτευξη αλλότριων σκοπών</w:t>
      </w:r>
      <w:r w:rsidR="00410402">
        <w:rPr>
          <w:rFonts w:ascii="Bookman Old Style" w:hAnsi="Bookman Old Style"/>
          <w:sz w:val="24"/>
          <w:szCs w:val="24"/>
        </w:rPr>
        <w:t>»!</w:t>
      </w:r>
    </w:p>
    <w:p w:rsidR="000A12E4" w:rsidRDefault="000A12E4" w:rsidP="00303AFA">
      <w:pPr>
        <w:spacing w:before="100" w:beforeAutospacing="1" w:after="100" w:afterAutospacing="1" w:line="360" w:lineRule="auto"/>
        <w:ind w:left="1134" w:hanging="283"/>
        <w:jc w:val="both"/>
        <w:rPr>
          <w:rFonts w:ascii="Bookman Old Style" w:hAnsi="Bookman Old Style"/>
          <w:sz w:val="24"/>
          <w:szCs w:val="24"/>
        </w:rPr>
      </w:pPr>
      <w:r>
        <w:rPr>
          <w:rFonts w:ascii="Bookman Old Style" w:hAnsi="Bookman Old Style"/>
          <w:b/>
          <w:sz w:val="24"/>
          <w:szCs w:val="24"/>
        </w:rPr>
        <w:t>β</w:t>
      </w:r>
      <w:r w:rsidR="00410402">
        <w:rPr>
          <w:rFonts w:ascii="Bookman Old Style" w:hAnsi="Bookman Old Style"/>
          <w:b/>
          <w:sz w:val="24"/>
          <w:szCs w:val="24"/>
        </w:rPr>
        <w:t xml:space="preserve">) </w:t>
      </w:r>
      <w:r w:rsidR="00410402">
        <w:rPr>
          <w:rFonts w:ascii="Bookman Old Style" w:hAnsi="Bookman Old Style"/>
          <w:sz w:val="24"/>
          <w:szCs w:val="24"/>
        </w:rPr>
        <w:t>Παρά τον ορατό, και δη «δια γυμνού οφθαλμού»</w:t>
      </w:r>
      <w:r w:rsidR="00E51255">
        <w:rPr>
          <w:rFonts w:ascii="Bookman Old Style" w:hAnsi="Bookman Old Style"/>
          <w:sz w:val="24"/>
          <w:szCs w:val="24"/>
        </w:rPr>
        <w:t>,</w:t>
      </w:r>
      <w:r w:rsidR="00410402">
        <w:rPr>
          <w:rFonts w:ascii="Bookman Old Style" w:hAnsi="Bookman Old Style"/>
          <w:sz w:val="24"/>
          <w:szCs w:val="24"/>
        </w:rPr>
        <w:t xml:space="preserve"> αυτό</w:t>
      </w:r>
      <w:r w:rsidR="00B63AC2">
        <w:rPr>
          <w:rFonts w:ascii="Bookman Old Style" w:hAnsi="Bookman Old Style"/>
          <w:sz w:val="24"/>
          <w:szCs w:val="24"/>
        </w:rPr>
        <w:t xml:space="preserve"> κίνδυνο</w:t>
      </w:r>
      <w:r w:rsidR="00255FEE">
        <w:rPr>
          <w:rFonts w:ascii="Bookman Old Style" w:hAnsi="Bookman Old Style"/>
          <w:sz w:val="24"/>
          <w:szCs w:val="24"/>
        </w:rPr>
        <w:t>,</w:t>
      </w:r>
      <w:r w:rsidR="00B63AC2">
        <w:rPr>
          <w:rFonts w:ascii="Bookman Old Style" w:hAnsi="Bookman Old Style"/>
          <w:sz w:val="24"/>
          <w:szCs w:val="24"/>
        </w:rPr>
        <w:t xml:space="preserve"> το ΔΕΕ,  </w:t>
      </w:r>
      <w:r w:rsidR="00E51255">
        <w:rPr>
          <w:rFonts w:ascii="Bookman Old Style" w:hAnsi="Bookman Old Style"/>
          <w:sz w:val="24"/>
          <w:szCs w:val="24"/>
        </w:rPr>
        <w:t>ακολουθώντας</w:t>
      </w:r>
      <w:r w:rsidR="00B63AC2">
        <w:rPr>
          <w:rFonts w:ascii="Bookman Old Style" w:hAnsi="Bookman Old Style"/>
          <w:sz w:val="24"/>
          <w:szCs w:val="24"/>
        </w:rPr>
        <w:t xml:space="preserve"> την τακτική μιας ανεκτικής ή και υποχωρητικής «νομολογιακής διπλωματίας» προς </w:t>
      </w:r>
      <w:r w:rsidR="00E51255">
        <w:rPr>
          <w:rFonts w:ascii="Bookman Old Style" w:hAnsi="Bookman Old Style"/>
          <w:sz w:val="24"/>
          <w:szCs w:val="24"/>
        </w:rPr>
        <w:t>αποφυγή</w:t>
      </w:r>
      <w:r w:rsidR="00B63AC2">
        <w:rPr>
          <w:rFonts w:ascii="Bookman Old Style" w:hAnsi="Bookman Old Style"/>
          <w:sz w:val="24"/>
          <w:szCs w:val="24"/>
        </w:rPr>
        <w:t xml:space="preserve"> της σύγκρουσης -που, όμως, φαινόταν ήδη αναπόφευκτη- αποδέχθηκε ν’ αποφανθεί επί προδικαστικών ερωτημάτων, κυριολεκτικώς αντιθέτων προς το γράμμα και το πνεύμα τ</w:t>
      </w:r>
      <w:r w:rsidR="00E51255">
        <w:rPr>
          <w:rFonts w:ascii="Bookman Old Style" w:hAnsi="Bookman Old Style"/>
          <w:sz w:val="24"/>
          <w:szCs w:val="24"/>
        </w:rPr>
        <w:t>ω</w:t>
      </w:r>
      <w:r w:rsidR="00B63AC2">
        <w:rPr>
          <w:rFonts w:ascii="Bookman Old Style" w:hAnsi="Bookman Old Style"/>
          <w:sz w:val="24"/>
          <w:szCs w:val="24"/>
        </w:rPr>
        <w:t xml:space="preserve">ν διατάξεων του άρθρου 267 της ΣΛΕΕ.  </w:t>
      </w:r>
    </w:p>
    <w:p w:rsidR="000A12E4" w:rsidRDefault="000A12E4" w:rsidP="000A12E4">
      <w:pPr>
        <w:spacing w:before="100" w:beforeAutospacing="1" w:after="100" w:afterAutospacing="1" w:line="360" w:lineRule="auto"/>
        <w:ind w:left="1418" w:hanging="284"/>
        <w:jc w:val="both"/>
        <w:rPr>
          <w:rFonts w:ascii="Bookman Old Style" w:hAnsi="Bookman Old Style"/>
          <w:sz w:val="24"/>
          <w:szCs w:val="24"/>
        </w:rPr>
      </w:pPr>
      <w:r>
        <w:rPr>
          <w:rFonts w:ascii="Bookman Old Style" w:hAnsi="Bookman Old Style"/>
          <w:b/>
          <w:sz w:val="24"/>
          <w:szCs w:val="24"/>
        </w:rPr>
        <w:t xml:space="preserve">β1) </w:t>
      </w:r>
      <w:r w:rsidR="00B63AC2">
        <w:rPr>
          <w:rFonts w:ascii="Bookman Old Style" w:hAnsi="Bookman Old Style"/>
          <w:sz w:val="24"/>
          <w:szCs w:val="24"/>
        </w:rPr>
        <w:t xml:space="preserve">Το ΔΕΕ φέρει μεγάλη ευθύνη εν προκειμένω διότι, κατά βάθος, δίστασε αδικαιολογήτως να υπερασπισθεί αυτό τούτο το δικαιοδοτικό του κύρος, όπως του το διασφαλίζουν οι οικείες διατάξεις του Ευρωπαϊκού Δικαίου. </w:t>
      </w:r>
      <w:r w:rsidR="00A84C79">
        <w:rPr>
          <w:rFonts w:ascii="Bookman Old Style" w:hAnsi="Bookman Old Style"/>
          <w:sz w:val="24"/>
          <w:szCs w:val="24"/>
        </w:rPr>
        <w:t xml:space="preserve"> Και στις δύο υποθέσεις, δηλαδή στις υποθέσεις «</w:t>
      </w:r>
      <w:r w:rsidR="00A84C79">
        <w:rPr>
          <w:rFonts w:ascii="Bookman Old Style" w:hAnsi="Bookman Old Style"/>
          <w:sz w:val="24"/>
          <w:szCs w:val="24"/>
          <w:lang w:val="en-US"/>
        </w:rPr>
        <w:t>Gauweiler</w:t>
      </w:r>
      <w:r w:rsidR="00A84C79">
        <w:rPr>
          <w:rFonts w:ascii="Bookman Old Style" w:hAnsi="Bookman Old Style"/>
          <w:sz w:val="24"/>
          <w:szCs w:val="24"/>
        </w:rPr>
        <w:t>» και «</w:t>
      </w:r>
      <w:r w:rsidR="00A84C79">
        <w:rPr>
          <w:rFonts w:ascii="Bookman Old Style" w:hAnsi="Bookman Old Style"/>
          <w:sz w:val="24"/>
          <w:szCs w:val="24"/>
          <w:lang w:val="en-US"/>
        </w:rPr>
        <w:t>Weiss</w:t>
      </w:r>
      <w:r w:rsidR="00A84C79">
        <w:rPr>
          <w:rFonts w:ascii="Bookman Old Style" w:hAnsi="Bookman Old Style"/>
          <w:sz w:val="24"/>
          <w:szCs w:val="24"/>
        </w:rPr>
        <w:t>» -ιδίως όμως στην πρώτη, οπότε θα είχε αποφευχθεί η δημιουργία ενός είδους άκρως αρνητικού «προηγούμενου</w:t>
      </w:r>
      <w:r w:rsidR="00A84C79" w:rsidRPr="00E51255">
        <w:rPr>
          <w:rFonts w:ascii="Bookman Old Style" w:hAnsi="Bookman Old Style"/>
          <w:sz w:val="24"/>
          <w:szCs w:val="24"/>
        </w:rPr>
        <w:t>-</w:t>
      </w:r>
      <w:r w:rsidR="00E51255">
        <w:rPr>
          <w:rFonts w:ascii="Bookman Old Style" w:hAnsi="Bookman Old Style"/>
          <w:sz w:val="24"/>
          <w:szCs w:val="24"/>
        </w:rPr>
        <w:t xml:space="preserve"> απέφυγε</w:t>
      </w:r>
      <w:r w:rsidR="00A84C79">
        <w:rPr>
          <w:rFonts w:ascii="Bookman Old Style" w:hAnsi="Bookman Old Style"/>
          <w:sz w:val="24"/>
          <w:szCs w:val="24"/>
        </w:rPr>
        <w:t xml:space="preserve"> ν’ απορρίψει τα προδικαστικά ερωτήματα του Ομοσπονδιακού Συνταγματικού Δικαστηρίου της Γερμανίας ως μη πληρούντα τις στοιχειώδεις προϋποθέσεις του παραδεκτού, όπως τούτο οριοθετείται κανονιστικώς από το γράμμα και το πνεύμα των διατάξεων του άρθρου 267 της ΣΛΕΕ.  </w:t>
      </w:r>
    </w:p>
    <w:p w:rsidR="00410402" w:rsidRDefault="000A12E4" w:rsidP="000A12E4">
      <w:pPr>
        <w:spacing w:before="100" w:beforeAutospacing="1" w:after="100" w:afterAutospacing="1" w:line="360" w:lineRule="auto"/>
        <w:ind w:left="1418" w:hanging="284"/>
        <w:jc w:val="both"/>
        <w:rPr>
          <w:rFonts w:ascii="Bookman Old Style" w:hAnsi="Bookman Old Style"/>
          <w:sz w:val="24"/>
          <w:szCs w:val="24"/>
        </w:rPr>
      </w:pPr>
      <w:r>
        <w:rPr>
          <w:rFonts w:ascii="Bookman Old Style" w:hAnsi="Bookman Old Style"/>
          <w:b/>
          <w:sz w:val="24"/>
          <w:szCs w:val="24"/>
        </w:rPr>
        <w:t xml:space="preserve">β2) </w:t>
      </w:r>
      <w:r w:rsidR="00A84C79">
        <w:rPr>
          <w:rFonts w:ascii="Bookman Old Style" w:hAnsi="Bookman Old Style"/>
          <w:sz w:val="24"/>
          <w:szCs w:val="24"/>
        </w:rPr>
        <w:t>Αν το είχε πράξει, θα είχε φέρει σε εξαιρετικά δύσκολη θέση το Δικαστήριο της Καρλσρούης, διότι το τελευταίο</w:t>
      </w:r>
      <w:r w:rsidR="00E51255">
        <w:rPr>
          <w:rFonts w:ascii="Bookman Old Style" w:hAnsi="Bookman Old Style"/>
          <w:sz w:val="24"/>
          <w:szCs w:val="24"/>
        </w:rPr>
        <w:t xml:space="preserve"> θα</w:t>
      </w:r>
      <w:r w:rsidR="00A84C79">
        <w:rPr>
          <w:rFonts w:ascii="Bookman Old Style" w:hAnsi="Bookman Old Style"/>
          <w:sz w:val="24"/>
          <w:szCs w:val="24"/>
        </w:rPr>
        <w:t xml:space="preserve"> είχε </w:t>
      </w:r>
      <w:r w:rsidR="00E51255">
        <w:rPr>
          <w:rFonts w:ascii="Bookman Old Style" w:hAnsi="Bookman Old Style"/>
          <w:sz w:val="24"/>
          <w:szCs w:val="24"/>
        </w:rPr>
        <w:t xml:space="preserve">τότε </w:t>
      </w:r>
      <w:r w:rsidR="00A84C79">
        <w:rPr>
          <w:rFonts w:ascii="Bookman Old Style" w:hAnsi="Bookman Old Style"/>
          <w:sz w:val="24"/>
          <w:szCs w:val="24"/>
        </w:rPr>
        <w:t xml:space="preserve">δύο δρόμους ν’ ακολουθήσει: Είτε ν’ απευθύνει νέο προδικαστικό ερώτημα </w:t>
      </w:r>
      <w:r w:rsidR="00A84C79">
        <w:rPr>
          <w:rFonts w:ascii="Bookman Old Style" w:hAnsi="Bookman Old Style"/>
          <w:sz w:val="24"/>
          <w:szCs w:val="24"/>
          <w:lang w:val="en-US"/>
        </w:rPr>
        <w:t>lege</w:t>
      </w:r>
      <w:r w:rsidR="00A84C79" w:rsidRPr="00A84C79">
        <w:rPr>
          <w:rFonts w:ascii="Bookman Old Style" w:hAnsi="Bookman Old Style"/>
          <w:sz w:val="24"/>
          <w:szCs w:val="24"/>
        </w:rPr>
        <w:t xml:space="preserve"> </w:t>
      </w:r>
      <w:r w:rsidR="00A84C79">
        <w:rPr>
          <w:rFonts w:ascii="Bookman Old Style" w:hAnsi="Bookman Old Style"/>
          <w:sz w:val="24"/>
          <w:szCs w:val="24"/>
          <w:lang w:val="en-US"/>
        </w:rPr>
        <w:t>artis</w:t>
      </w:r>
      <w:r w:rsidR="00A84C79">
        <w:rPr>
          <w:rFonts w:ascii="Bookman Old Style" w:hAnsi="Bookman Old Style"/>
          <w:sz w:val="24"/>
          <w:szCs w:val="24"/>
        </w:rPr>
        <w:t>, σύμφωνα με τις ως άνω διατάξεις της ΣΛΕΕ. Είτε ν’ αποφύγει κάτι τέτοιο και να πάρει όλη την ευθύνη έκδοσης απόφασης, καταφανώς αντίθετης με τις προμνημονευόμενες διατάξεις, ερχόμενο έτσι σ’ ευθεία και ο</w:t>
      </w:r>
      <w:r w:rsidR="00684DB0">
        <w:rPr>
          <w:rFonts w:ascii="Bookman Old Style" w:hAnsi="Bookman Old Style"/>
          <w:sz w:val="24"/>
          <w:szCs w:val="24"/>
        </w:rPr>
        <w:t>μολογ</w:t>
      </w:r>
      <w:r w:rsidR="00E51255">
        <w:rPr>
          <w:rFonts w:ascii="Bookman Old Style" w:hAnsi="Bookman Old Style"/>
          <w:sz w:val="24"/>
          <w:szCs w:val="24"/>
        </w:rPr>
        <w:t>ημένη</w:t>
      </w:r>
      <w:r w:rsidR="00684DB0">
        <w:rPr>
          <w:rFonts w:ascii="Bookman Old Style" w:hAnsi="Bookman Old Style"/>
          <w:sz w:val="24"/>
          <w:szCs w:val="24"/>
        </w:rPr>
        <w:t xml:space="preserve"> σύγκρουση με την Ευρωπαϊκή Έννομη Τάξη.  </w:t>
      </w:r>
      <w:r w:rsidR="00684DB0">
        <w:rPr>
          <w:rFonts w:ascii="Bookman Old Style" w:hAnsi="Bookman Old Style"/>
          <w:sz w:val="24"/>
          <w:szCs w:val="24"/>
        </w:rPr>
        <w:lastRenderedPageBreak/>
        <w:t xml:space="preserve">Τούτο ισχύει </w:t>
      </w:r>
      <w:r w:rsidR="00684DB0">
        <w:rPr>
          <w:rFonts w:ascii="Bookman Old Style" w:hAnsi="Bookman Old Style"/>
          <w:sz w:val="24"/>
          <w:szCs w:val="24"/>
          <w:lang w:val="en-US"/>
        </w:rPr>
        <w:t>a</w:t>
      </w:r>
      <w:r w:rsidR="00684DB0" w:rsidRPr="00684DB0">
        <w:rPr>
          <w:rFonts w:ascii="Bookman Old Style" w:hAnsi="Bookman Old Style"/>
          <w:sz w:val="24"/>
          <w:szCs w:val="24"/>
        </w:rPr>
        <w:t xml:space="preserve"> </w:t>
      </w:r>
      <w:r w:rsidR="00684DB0">
        <w:rPr>
          <w:rFonts w:ascii="Bookman Old Style" w:hAnsi="Bookman Old Style"/>
          <w:sz w:val="24"/>
          <w:szCs w:val="24"/>
          <w:lang w:val="en-US"/>
        </w:rPr>
        <w:t>fortiori</w:t>
      </w:r>
      <w:r w:rsidR="00684DB0">
        <w:rPr>
          <w:rFonts w:ascii="Bookman Old Style" w:hAnsi="Bookman Old Style"/>
          <w:sz w:val="24"/>
          <w:szCs w:val="24"/>
        </w:rPr>
        <w:t xml:space="preserve"> διότι </w:t>
      </w:r>
      <w:r w:rsidR="00E51255">
        <w:rPr>
          <w:rFonts w:ascii="Bookman Old Style" w:hAnsi="Bookman Old Style"/>
          <w:sz w:val="24"/>
          <w:szCs w:val="24"/>
        </w:rPr>
        <w:t xml:space="preserve">το Ομοσπονδιακό Συνταγματικό Δικαστήριο της Γερμανίας σε αυτή την περίπτωση θα παραβίαζε, </w:t>
      </w:r>
      <w:r w:rsidR="00684DB0">
        <w:rPr>
          <w:rFonts w:ascii="Bookman Old Style" w:hAnsi="Bookman Old Style"/>
          <w:sz w:val="24"/>
          <w:szCs w:val="24"/>
        </w:rPr>
        <w:t xml:space="preserve"> πέραν των άλλων, και τις ειδικότερες διατάξεις του άρθρου 267 εδ. 3 της ΣΛΕΕ, κατά τις οποίες «</w:t>
      </w:r>
      <w:r w:rsidR="00684DB0" w:rsidRPr="00E51255">
        <w:rPr>
          <w:rFonts w:ascii="Bookman Old Style" w:hAnsi="Bookman Old Style"/>
          <w:i/>
          <w:sz w:val="24"/>
          <w:szCs w:val="24"/>
        </w:rPr>
        <w:t>δικαστήριο Κράτους-Μέλους</w:t>
      </w:r>
      <w:r w:rsidR="00E51255" w:rsidRPr="00E51255">
        <w:rPr>
          <w:rFonts w:ascii="Bookman Old Style" w:hAnsi="Bookman Old Style"/>
          <w:i/>
          <w:sz w:val="24"/>
          <w:szCs w:val="24"/>
        </w:rPr>
        <w:t>,</w:t>
      </w:r>
      <w:r w:rsidR="00684DB0" w:rsidRPr="00E51255">
        <w:rPr>
          <w:rFonts w:ascii="Bookman Old Style" w:hAnsi="Bookman Old Style"/>
          <w:i/>
          <w:sz w:val="24"/>
          <w:szCs w:val="24"/>
        </w:rPr>
        <w:t xml:space="preserve"> ενώπιον του οποίου ανακύπτει τέτοιο ζήτημα σε εκκρεμή υπόθεση και του οποίου οι αποφάσεις δεν υπόκεινται σε ένδικα μέσα του εσωτερικού δικαίου, οφείλει να παραπέμψει το ζήτημα στο Δικαστήριο</w:t>
      </w:r>
      <w:r w:rsidR="00684DB0">
        <w:rPr>
          <w:rFonts w:ascii="Bookman Old Style" w:hAnsi="Bookman Old Style"/>
          <w:sz w:val="24"/>
          <w:szCs w:val="24"/>
        </w:rPr>
        <w:t xml:space="preserve">». </w:t>
      </w:r>
    </w:p>
    <w:p w:rsidR="00684DB0" w:rsidRPr="0044484E" w:rsidRDefault="0044484E" w:rsidP="0044484E">
      <w:pPr>
        <w:spacing w:before="100" w:beforeAutospacing="1" w:after="100" w:afterAutospacing="1" w:line="360" w:lineRule="auto"/>
        <w:ind w:left="360"/>
        <w:jc w:val="both"/>
        <w:rPr>
          <w:rFonts w:ascii="Bookman Old Style" w:hAnsi="Bookman Old Style"/>
          <w:b/>
          <w:sz w:val="24"/>
          <w:szCs w:val="24"/>
        </w:rPr>
      </w:pPr>
      <w:r>
        <w:rPr>
          <w:rFonts w:ascii="Bookman Old Style" w:hAnsi="Bookman Old Style"/>
          <w:b/>
          <w:sz w:val="24"/>
          <w:szCs w:val="24"/>
        </w:rPr>
        <w:t xml:space="preserve">Β. </w:t>
      </w:r>
      <w:r w:rsidR="00684DB0" w:rsidRPr="0044484E">
        <w:rPr>
          <w:rFonts w:ascii="Bookman Old Style" w:hAnsi="Bookman Old Style"/>
          <w:b/>
          <w:sz w:val="24"/>
          <w:szCs w:val="24"/>
        </w:rPr>
        <w:t xml:space="preserve">Το «δέον γενέσθαι» υπό τα σημερινά δεδομένα της νομολογίας του ΔΕΕ και του Ομοσπονδιακού Συνταγματικού Δικαστηρίου της Γερμανίας. </w:t>
      </w:r>
    </w:p>
    <w:p w:rsidR="00684DB0" w:rsidRDefault="00684DB0" w:rsidP="00303AFA">
      <w:pPr>
        <w:pStyle w:val="a3"/>
        <w:spacing w:before="100" w:beforeAutospacing="1" w:after="100" w:afterAutospacing="1" w:line="360" w:lineRule="auto"/>
        <w:ind w:left="851"/>
        <w:contextualSpacing w:val="0"/>
        <w:jc w:val="both"/>
        <w:rPr>
          <w:rFonts w:ascii="Bookman Old Style" w:hAnsi="Bookman Old Style"/>
          <w:sz w:val="24"/>
          <w:szCs w:val="24"/>
        </w:rPr>
      </w:pPr>
      <w:r>
        <w:rPr>
          <w:rFonts w:ascii="Bookman Old Style" w:hAnsi="Bookman Old Style"/>
          <w:sz w:val="24"/>
          <w:szCs w:val="24"/>
        </w:rPr>
        <w:t>Από τα όσα εκτέθηκαν προκύπτει</w:t>
      </w:r>
      <w:r w:rsidR="00E51255">
        <w:rPr>
          <w:rFonts w:ascii="Bookman Old Style" w:hAnsi="Bookman Old Style"/>
          <w:sz w:val="24"/>
          <w:szCs w:val="24"/>
        </w:rPr>
        <w:t>,</w:t>
      </w:r>
      <w:r>
        <w:rPr>
          <w:rFonts w:ascii="Bookman Old Style" w:hAnsi="Bookman Old Style"/>
          <w:sz w:val="24"/>
          <w:szCs w:val="24"/>
        </w:rPr>
        <w:t xml:space="preserve"> </w:t>
      </w:r>
      <w:r w:rsidR="00E51255">
        <w:rPr>
          <w:rFonts w:ascii="Bookman Old Style" w:hAnsi="Bookman Old Style"/>
          <w:sz w:val="24"/>
          <w:szCs w:val="24"/>
        </w:rPr>
        <w:t xml:space="preserve">εναργώς, </w:t>
      </w:r>
      <w:r>
        <w:rPr>
          <w:rFonts w:ascii="Bookman Old Style" w:hAnsi="Bookman Old Style"/>
          <w:sz w:val="24"/>
          <w:szCs w:val="24"/>
        </w:rPr>
        <w:t xml:space="preserve">ότι με βάση την όλη πορεία της νομολογίας του Ομοσπονδιακού Συνταγματικού Δικαστηρίου της Γερμανίας -αλλά και τις </w:t>
      </w:r>
      <w:r w:rsidR="00E51255">
        <w:rPr>
          <w:rFonts w:ascii="Bookman Old Style" w:hAnsi="Bookman Old Style"/>
          <w:sz w:val="24"/>
          <w:szCs w:val="24"/>
        </w:rPr>
        <w:t>παρόμοιες</w:t>
      </w:r>
      <w:r>
        <w:rPr>
          <w:rFonts w:ascii="Bookman Old Style" w:hAnsi="Bookman Old Style"/>
          <w:sz w:val="24"/>
          <w:szCs w:val="24"/>
        </w:rPr>
        <w:t xml:space="preserve"> τάσεις της νομολογίας αρκετών άλλων Ανώτατων Δικαστηρίων Κρατών-Μελών της Ευρωπαϊκής Ένωσης- και την σχετική, με επιεικείς όρους, «αμηχανία» των Ευρωπαϊκών </w:t>
      </w:r>
      <w:r w:rsidR="00E51255">
        <w:rPr>
          <w:rFonts w:ascii="Bookman Old Style" w:hAnsi="Bookman Old Style"/>
          <w:sz w:val="24"/>
          <w:szCs w:val="24"/>
        </w:rPr>
        <w:t>Θ</w:t>
      </w:r>
      <w:r>
        <w:rPr>
          <w:rFonts w:ascii="Bookman Old Style" w:hAnsi="Bookman Old Style"/>
          <w:sz w:val="24"/>
          <w:szCs w:val="24"/>
        </w:rPr>
        <w:t>εσμών μπροστά στο φαινόμενο αυτό, τίθεται μετ’ επιτάσεως το ζήτημα τι πρέπει να γίνει, ώστε αυτή η «συγκρουσιακή» κατάσταση μεταξύ Ευρωπαϊκού Δικαίου και Εθνικών Δικαίων να μην επιδεινωθεί και, περαιτέρω, όσο το δυνατόν να μην διαιωνισθεί.  Και τούτο διότι είναι προφανές ότι η επ</w:t>
      </w:r>
      <w:r w:rsidR="00471DB0">
        <w:rPr>
          <w:rFonts w:ascii="Bookman Old Style" w:hAnsi="Bookman Old Style"/>
          <w:sz w:val="24"/>
          <w:szCs w:val="24"/>
        </w:rPr>
        <w:t xml:space="preserve">ιδείνωσή της αλλά και η </w:t>
      </w:r>
      <w:r w:rsidR="0070740A">
        <w:rPr>
          <w:rFonts w:ascii="Bookman Old Style" w:hAnsi="Bookman Old Style"/>
          <w:sz w:val="24"/>
          <w:szCs w:val="24"/>
        </w:rPr>
        <w:t>διαιώνισή της θα έχουν πρόσθετες αρνητικές επιπτώσεις στο</w:t>
      </w:r>
      <w:r w:rsidR="009158B4">
        <w:rPr>
          <w:rFonts w:ascii="Bookman Old Style" w:hAnsi="Bookman Old Style"/>
          <w:sz w:val="24"/>
          <w:szCs w:val="24"/>
        </w:rPr>
        <w:t>,</w:t>
      </w:r>
      <w:r w:rsidR="0070740A">
        <w:rPr>
          <w:rFonts w:ascii="Bookman Old Style" w:hAnsi="Bookman Old Style"/>
          <w:sz w:val="24"/>
          <w:szCs w:val="24"/>
        </w:rPr>
        <w:t xml:space="preserve"> ήδη βεβαρημένο</w:t>
      </w:r>
      <w:r w:rsidR="009158B4">
        <w:rPr>
          <w:rFonts w:ascii="Bookman Old Style" w:hAnsi="Bookman Old Style"/>
          <w:sz w:val="24"/>
          <w:szCs w:val="24"/>
        </w:rPr>
        <w:t>,</w:t>
      </w:r>
      <w:r w:rsidR="0070740A">
        <w:rPr>
          <w:rFonts w:ascii="Bookman Old Style" w:hAnsi="Bookman Old Style"/>
          <w:sz w:val="24"/>
          <w:szCs w:val="24"/>
        </w:rPr>
        <w:t xml:space="preserve"> κλίμα της προοπτικής της Ευρωπαϊκής Ενοποίησης και της ενίσχυσης του όλου Ευρωπαϊκού Οικοδομήματος</w:t>
      </w:r>
      <w:r w:rsidR="009158B4">
        <w:rPr>
          <w:rFonts w:ascii="Bookman Old Style" w:hAnsi="Bookman Old Style"/>
          <w:sz w:val="24"/>
          <w:szCs w:val="24"/>
        </w:rPr>
        <w:t>.</w:t>
      </w:r>
      <w:r w:rsidR="0070740A">
        <w:rPr>
          <w:rFonts w:ascii="Bookman Old Style" w:hAnsi="Bookman Old Style"/>
          <w:sz w:val="24"/>
          <w:szCs w:val="24"/>
        </w:rPr>
        <w:t xml:space="preserve"> </w:t>
      </w:r>
      <w:r w:rsidR="009158B4">
        <w:rPr>
          <w:rFonts w:ascii="Bookman Old Style" w:hAnsi="Bookman Old Style"/>
          <w:sz w:val="24"/>
          <w:szCs w:val="24"/>
        </w:rPr>
        <w:t>Κ</w:t>
      </w:r>
      <w:r w:rsidR="0070740A">
        <w:rPr>
          <w:rFonts w:ascii="Bookman Old Style" w:hAnsi="Bookman Old Style"/>
          <w:sz w:val="24"/>
          <w:szCs w:val="24"/>
        </w:rPr>
        <w:t xml:space="preserve">αι μάλιστα </w:t>
      </w:r>
      <w:r w:rsidR="009158B4">
        <w:rPr>
          <w:rFonts w:ascii="Bookman Old Style" w:hAnsi="Bookman Old Style"/>
          <w:sz w:val="24"/>
          <w:szCs w:val="24"/>
        </w:rPr>
        <w:t xml:space="preserve">μέσα </w:t>
      </w:r>
      <w:r w:rsidR="0070740A">
        <w:rPr>
          <w:rFonts w:ascii="Bookman Old Style" w:hAnsi="Bookman Old Style"/>
          <w:sz w:val="24"/>
          <w:szCs w:val="24"/>
        </w:rPr>
        <w:t>σε μια παγκόσμια συγκυρία εξαιρετικά κρίσιμη για το εν γένει μέλλον της Ευρωπαϊκής Ένωσης.</w:t>
      </w:r>
    </w:p>
    <w:p w:rsidR="0044484E" w:rsidRPr="0044484E" w:rsidRDefault="0044484E" w:rsidP="0044484E">
      <w:pPr>
        <w:pStyle w:val="a3"/>
        <w:numPr>
          <w:ilvl w:val="0"/>
          <w:numId w:val="14"/>
        </w:numPr>
        <w:spacing w:before="100" w:beforeAutospacing="1" w:after="100" w:afterAutospacing="1" w:line="360" w:lineRule="auto"/>
        <w:contextualSpacing w:val="0"/>
        <w:jc w:val="both"/>
        <w:rPr>
          <w:rFonts w:ascii="Bookman Old Style" w:hAnsi="Bookman Old Style"/>
          <w:sz w:val="24"/>
          <w:szCs w:val="24"/>
        </w:rPr>
      </w:pPr>
      <w:r>
        <w:rPr>
          <w:rFonts w:ascii="Bookman Old Style" w:hAnsi="Bookman Old Style"/>
          <w:b/>
          <w:sz w:val="24"/>
          <w:szCs w:val="24"/>
        </w:rPr>
        <w:t>Προς το Σύνταγμα της Ευρωπαϊκής Ένωσης.</w:t>
      </w:r>
    </w:p>
    <w:p w:rsidR="0070740A" w:rsidRPr="0044484E" w:rsidRDefault="0070740A" w:rsidP="0044484E">
      <w:pPr>
        <w:pStyle w:val="a3"/>
        <w:spacing w:before="100" w:beforeAutospacing="1" w:after="100" w:afterAutospacing="1" w:line="360" w:lineRule="auto"/>
        <w:ind w:left="1211"/>
        <w:contextualSpacing w:val="0"/>
        <w:jc w:val="both"/>
        <w:rPr>
          <w:rFonts w:ascii="Bookman Old Style" w:hAnsi="Bookman Old Style"/>
          <w:sz w:val="24"/>
          <w:szCs w:val="24"/>
        </w:rPr>
      </w:pPr>
      <w:r w:rsidRPr="0044484E">
        <w:rPr>
          <w:rFonts w:ascii="Bookman Old Style" w:hAnsi="Bookman Old Style"/>
          <w:sz w:val="24"/>
          <w:szCs w:val="24"/>
        </w:rPr>
        <w:t xml:space="preserve">Υπό όρους μακροσκοπικής ανάλυσης και αντίστοιχου προβληματισμού, αναφορικά με το μείζον ζήτημα της </w:t>
      </w:r>
      <w:r w:rsidRPr="0044484E">
        <w:rPr>
          <w:rFonts w:ascii="Bookman Old Style" w:hAnsi="Bookman Old Style"/>
          <w:sz w:val="24"/>
          <w:szCs w:val="24"/>
        </w:rPr>
        <w:lastRenderedPageBreak/>
        <w:t>σύγκρουσης μεταξύ Ευρωπαϊκού Δικαίου και Εθνικών Δικαίων των Κρατών-Μελών, καθίσταται προφανές ότι τα οιονεί «θερμά επεισόδια» που έχει προκαλέσει το Δικαστήριο της Καρλσρούης με τις υποθέσεις «</w:t>
      </w:r>
      <w:r w:rsidRPr="0044484E">
        <w:rPr>
          <w:rFonts w:ascii="Bookman Old Style" w:hAnsi="Bookman Old Style"/>
          <w:sz w:val="24"/>
          <w:szCs w:val="24"/>
          <w:lang w:val="en-US"/>
        </w:rPr>
        <w:t>Gauweiler</w:t>
      </w:r>
      <w:r w:rsidRPr="0044484E">
        <w:rPr>
          <w:rFonts w:ascii="Bookman Old Style" w:hAnsi="Bookman Old Style"/>
          <w:sz w:val="24"/>
          <w:szCs w:val="24"/>
        </w:rPr>
        <w:t>» και «</w:t>
      </w:r>
      <w:r w:rsidRPr="0044484E">
        <w:rPr>
          <w:rFonts w:ascii="Bookman Old Style" w:hAnsi="Bookman Old Style"/>
          <w:sz w:val="24"/>
          <w:szCs w:val="24"/>
          <w:lang w:val="en-US"/>
        </w:rPr>
        <w:t>Weiss</w:t>
      </w:r>
      <w:r w:rsidRPr="0044484E">
        <w:rPr>
          <w:rFonts w:ascii="Bookman Old Style" w:hAnsi="Bookman Old Style"/>
          <w:sz w:val="24"/>
          <w:szCs w:val="24"/>
        </w:rPr>
        <w:t xml:space="preserve">» δεν μπορούν ν’ αντιμετωπισθούν αποκλειστικώς </w:t>
      </w:r>
      <w:r w:rsidR="009158B4" w:rsidRPr="0044484E">
        <w:rPr>
          <w:rFonts w:ascii="Bookman Old Style" w:hAnsi="Bookman Old Style"/>
          <w:sz w:val="24"/>
          <w:szCs w:val="24"/>
        </w:rPr>
        <w:t>και μόνο δια της</w:t>
      </w:r>
      <w:r w:rsidRPr="0044484E">
        <w:rPr>
          <w:rFonts w:ascii="Bookman Old Style" w:hAnsi="Bookman Old Style"/>
          <w:sz w:val="24"/>
          <w:szCs w:val="24"/>
        </w:rPr>
        <w:t xml:space="preserve"> συνέχισης της θεωρητικής συζήτησης ως προς την κανονιστική υπεροχή του Ευρωπαϊκού Δικαίου ή του Εθνικού Δικαίου – με κορωνίδα το Σύνταγμα- των Κρατών-Μελών. </w:t>
      </w:r>
    </w:p>
    <w:p w:rsidR="0070740A" w:rsidRDefault="0070740A" w:rsidP="00303AFA">
      <w:pPr>
        <w:pStyle w:val="a3"/>
        <w:spacing w:before="100" w:beforeAutospacing="1" w:after="100" w:afterAutospacing="1" w:line="360" w:lineRule="auto"/>
        <w:ind w:left="1135" w:hanging="284"/>
        <w:contextualSpacing w:val="0"/>
        <w:jc w:val="both"/>
        <w:rPr>
          <w:rFonts w:ascii="Bookman Old Style" w:hAnsi="Bookman Old Style"/>
          <w:sz w:val="24"/>
          <w:szCs w:val="24"/>
        </w:rPr>
      </w:pPr>
      <w:r>
        <w:rPr>
          <w:rFonts w:ascii="Bookman Old Style" w:hAnsi="Bookman Old Style"/>
          <w:b/>
          <w:sz w:val="24"/>
          <w:szCs w:val="24"/>
        </w:rPr>
        <w:tab/>
        <w:t xml:space="preserve">α) </w:t>
      </w:r>
      <w:r>
        <w:rPr>
          <w:rFonts w:ascii="Bookman Old Style" w:hAnsi="Bookman Old Style"/>
          <w:sz w:val="24"/>
          <w:szCs w:val="24"/>
        </w:rPr>
        <w:t xml:space="preserve">Για ν’ αντικρίσουμε την αλήθεια κατάματα, η συζήτηση αυτή, η οποία </w:t>
      </w:r>
      <w:r w:rsidR="009158B4">
        <w:rPr>
          <w:rFonts w:ascii="Bookman Old Style" w:hAnsi="Bookman Old Style"/>
          <w:sz w:val="24"/>
          <w:szCs w:val="24"/>
        </w:rPr>
        <w:t>συντηρείται</w:t>
      </w:r>
      <w:r>
        <w:rPr>
          <w:rFonts w:ascii="Bookman Old Style" w:hAnsi="Bookman Old Style"/>
          <w:sz w:val="24"/>
          <w:szCs w:val="24"/>
        </w:rPr>
        <w:t xml:space="preserve"> εδώ και πολλές δεκαετίες, όσο γόνιμα </w:t>
      </w:r>
      <w:r w:rsidR="00D36B20">
        <w:rPr>
          <w:rFonts w:ascii="Bookman Old Style" w:hAnsi="Bookman Old Style"/>
          <w:sz w:val="24"/>
          <w:szCs w:val="24"/>
        </w:rPr>
        <w:t>επιχειρήματα και αν αναπτύχθηκαν εκατέρωθεν, έχει οδηγηθεί πια σε αδιέξοδο.  Γι’ αυτό και το ΔΕΕ όφειλε να γνωρίζει ότι τα κατά τ’ ανωτέρω «θερμά επεισόδια»</w:t>
      </w:r>
      <w:r w:rsidR="009158B4">
        <w:rPr>
          <w:rFonts w:ascii="Bookman Old Style" w:hAnsi="Bookman Old Style"/>
          <w:sz w:val="24"/>
          <w:szCs w:val="24"/>
        </w:rPr>
        <w:t>,</w:t>
      </w:r>
      <w:r w:rsidR="00D36B20">
        <w:rPr>
          <w:rFonts w:ascii="Bookman Old Style" w:hAnsi="Bookman Old Style"/>
          <w:sz w:val="24"/>
          <w:szCs w:val="24"/>
        </w:rPr>
        <w:t xml:space="preserve"> με πρωταγωνιστή το Ομοσπονδιακό Συνταγματικό Δικαστήριο της Γερμανίας</w:t>
      </w:r>
      <w:r w:rsidR="009158B4">
        <w:rPr>
          <w:rFonts w:ascii="Bookman Old Style" w:hAnsi="Bookman Old Style"/>
          <w:sz w:val="24"/>
          <w:szCs w:val="24"/>
        </w:rPr>
        <w:t>,</w:t>
      </w:r>
      <w:r w:rsidR="00D36B20">
        <w:rPr>
          <w:rFonts w:ascii="Bookman Old Style" w:hAnsi="Bookman Old Style"/>
          <w:sz w:val="24"/>
          <w:szCs w:val="24"/>
        </w:rPr>
        <w:t xml:space="preserve"> δεν ήταν «κεραυνός εν αιθρία», αλλά μάλλον «το χρονικό μιας προαναγγελθεί</w:t>
      </w:r>
      <w:r w:rsidR="009E3F1A">
        <w:rPr>
          <w:rFonts w:ascii="Bookman Old Style" w:hAnsi="Bookman Old Style"/>
          <w:sz w:val="24"/>
          <w:szCs w:val="24"/>
        </w:rPr>
        <w:t>σ</w:t>
      </w:r>
      <w:r w:rsidR="00D36B20">
        <w:rPr>
          <w:rFonts w:ascii="Bookman Old Style" w:hAnsi="Bookman Old Style"/>
          <w:sz w:val="24"/>
          <w:szCs w:val="24"/>
        </w:rPr>
        <w:t>ας σύγκρουσης».  Αν αναχθούμε σε αμιγώς νομικά επιχειρήματα, είναι κάτι παραπάνω από βέβαιο ότι ο μόνος δρόμος για να καμφθούν αποτελεσματικώς οι αντιδράσεις ως προς την κανονιστική υπεροχή του Ευρωπαϊκού Δικαίου είναι εκείνος που οδηγεί στην θέσπιση ενός πραγματικού Ευρωπαϊκού Συντάγματος, γεγονός το οποίο προϋποθέτει μι</w:t>
      </w:r>
      <w:r w:rsidR="009E3F1A">
        <w:rPr>
          <w:rFonts w:ascii="Bookman Old Style" w:hAnsi="Bookman Old Style"/>
          <w:sz w:val="24"/>
          <w:szCs w:val="24"/>
        </w:rPr>
        <w:t>α</w:t>
      </w:r>
      <w:r w:rsidR="00D36B20">
        <w:rPr>
          <w:rFonts w:ascii="Bookman Old Style" w:hAnsi="Bookman Old Style"/>
          <w:sz w:val="24"/>
          <w:szCs w:val="24"/>
        </w:rPr>
        <w:t>ν Ευρωπαϊκή Ένωση δομημένη στο θεμέλιο μας ομοσπονδιακού τύπου Αντιπροσωπευτικής Δημοκρ</w:t>
      </w:r>
      <w:r w:rsidR="009E3F1A">
        <w:rPr>
          <w:rFonts w:ascii="Bookman Old Style" w:hAnsi="Bookman Old Style"/>
          <w:sz w:val="24"/>
          <w:szCs w:val="24"/>
        </w:rPr>
        <w:t>α</w:t>
      </w:r>
      <w:r w:rsidR="00D36B20">
        <w:rPr>
          <w:rFonts w:ascii="Bookman Old Style" w:hAnsi="Bookman Old Style"/>
          <w:sz w:val="24"/>
          <w:szCs w:val="24"/>
        </w:rPr>
        <w:t xml:space="preserve">τίας.  Υπό το βάρος αλλά και το φως ενός τέτοιου, τυπικώς μάλιστα θεσπισμένου, ενιαίου ευρωπαϊκού </w:t>
      </w:r>
      <w:r w:rsidR="009E3F1A">
        <w:rPr>
          <w:rFonts w:ascii="Bookman Old Style" w:hAnsi="Bookman Old Style"/>
          <w:sz w:val="24"/>
          <w:szCs w:val="24"/>
        </w:rPr>
        <w:t>συνταγματικού θεμελίου</w:t>
      </w:r>
      <w:r w:rsidR="009158B4">
        <w:rPr>
          <w:rFonts w:ascii="Bookman Old Style" w:hAnsi="Bookman Old Style"/>
          <w:sz w:val="24"/>
          <w:szCs w:val="24"/>
        </w:rPr>
        <w:t>,</w:t>
      </w:r>
      <w:r w:rsidR="009E3F1A">
        <w:rPr>
          <w:rFonts w:ascii="Bookman Old Style" w:hAnsi="Bookman Old Style"/>
          <w:sz w:val="24"/>
          <w:szCs w:val="24"/>
        </w:rPr>
        <w:t xml:space="preserve"> κάθε Εθνικό Δικαστήριο θα ήταν απολύτως δέσμιο ως προς τον σεβασμό και την εφαρμογή του, ακόμη και σε περίπτωση σύγκρουσης των διατάξεών του με τις διατάξεις </w:t>
      </w:r>
      <w:r w:rsidR="009158B4">
        <w:rPr>
          <w:rFonts w:ascii="Bookman Old Style" w:hAnsi="Bookman Old Style"/>
          <w:sz w:val="24"/>
          <w:szCs w:val="24"/>
        </w:rPr>
        <w:t>του Συντάγματος του οικείου Κράτους-Μέλους.</w:t>
      </w:r>
      <w:r w:rsidR="009E3F1A">
        <w:rPr>
          <w:rFonts w:ascii="Bookman Old Style" w:hAnsi="Bookman Old Style"/>
          <w:sz w:val="24"/>
          <w:szCs w:val="24"/>
        </w:rPr>
        <w:t xml:space="preserve"> </w:t>
      </w:r>
    </w:p>
    <w:p w:rsidR="00AC23FA" w:rsidRDefault="0044484E" w:rsidP="00303AFA">
      <w:pPr>
        <w:pStyle w:val="a3"/>
        <w:spacing w:before="100" w:beforeAutospacing="1" w:after="100" w:afterAutospacing="1" w:line="360" w:lineRule="auto"/>
        <w:ind w:left="1135" w:hanging="284"/>
        <w:contextualSpacing w:val="0"/>
        <w:jc w:val="both"/>
        <w:rPr>
          <w:rFonts w:ascii="Bookman Old Style" w:hAnsi="Bookman Old Style"/>
          <w:sz w:val="24"/>
          <w:szCs w:val="24"/>
        </w:rPr>
      </w:pPr>
      <w:r>
        <w:rPr>
          <w:rFonts w:ascii="Bookman Old Style" w:hAnsi="Bookman Old Style"/>
          <w:b/>
          <w:sz w:val="24"/>
          <w:szCs w:val="24"/>
        </w:rPr>
        <w:t>β</w:t>
      </w:r>
      <w:r w:rsidR="00AC23FA">
        <w:rPr>
          <w:rFonts w:ascii="Bookman Old Style" w:hAnsi="Bookman Old Style"/>
          <w:b/>
          <w:sz w:val="24"/>
          <w:szCs w:val="24"/>
        </w:rPr>
        <w:t xml:space="preserve">) </w:t>
      </w:r>
      <w:r w:rsidR="00AC23FA">
        <w:rPr>
          <w:rFonts w:ascii="Bookman Old Style" w:hAnsi="Bookman Old Style"/>
          <w:sz w:val="24"/>
          <w:szCs w:val="24"/>
        </w:rPr>
        <w:t>Κατά λογική ακολουθία, και έως ότου φθάσουμε στο ορόσημο της θέσπισης ενός πραγματικού Συντάγματος της Ευρωπαϊκής Ένωσης, ως θεμελίου της Ευρωπαϊκής Έννομης Τάξης, μ</w:t>
      </w:r>
      <w:r w:rsidR="00255FEE">
        <w:rPr>
          <w:rFonts w:ascii="Bookman Old Style" w:hAnsi="Bookman Old Style"/>
          <w:sz w:val="24"/>
          <w:szCs w:val="24"/>
        </w:rPr>
        <w:t>ί</w:t>
      </w:r>
      <w:r w:rsidR="00AC23FA">
        <w:rPr>
          <w:rFonts w:ascii="Bookman Old Style" w:hAnsi="Bookman Old Style"/>
          <w:sz w:val="24"/>
          <w:szCs w:val="24"/>
        </w:rPr>
        <w:t xml:space="preserve">α είναι </w:t>
      </w:r>
      <w:r w:rsidR="00AC23FA">
        <w:rPr>
          <w:rFonts w:ascii="Bookman Old Style" w:hAnsi="Bookman Old Style"/>
          <w:sz w:val="24"/>
          <w:szCs w:val="24"/>
        </w:rPr>
        <w:lastRenderedPageBreak/>
        <w:t>η διέξοδος για την αποφυγή συγκρούσεων ως προς την σχέση Ευρωπαϊκού και Εθνικού Δικαίου, ανάλογων μ’ εκείνη που ήδη προκαλεί σήμερα η νομολογία του Ομοσπονδιακού Συνταγματικού Δικαστηρίου της Γερμανίας: Από την μ</w:t>
      </w:r>
      <w:r w:rsidR="00255FEE">
        <w:rPr>
          <w:rFonts w:ascii="Bookman Old Style" w:hAnsi="Bookman Old Style"/>
          <w:sz w:val="24"/>
          <w:szCs w:val="24"/>
        </w:rPr>
        <w:t>ί</w:t>
      </w:r>
      <w:r w:rsidR="00AC23FA">
        <w:rPr>
          <w:rFonts w:ascii="Bookman Old Style" w:hAnsi="Bookman Old Style"/>
          <w:sz w:val="24"/>
          <w:szCs w:val="24"/>
        </w:rPr>
        <w:t>α πλευρά η εκ μέρους του ΔΕΕ όσο το δυνατόν πιο σύμφωνη με τα κατά περίπτωση Συντάγματα των Κρατών-Μελών ερμηνεία και εφαρμογή του Ευρωπαϊκού Δικαίου, στο σύνολό του.  Και, από την άλλη πλευρά και αντιστοίχως, η εκ μέρους του Εθνικού Δικαστή όσο το δυνατόν πιο σύμφωνη με το Ευρωπαϊκό Δίκαιο, επίσης στο σύνολό του, ερμηνεία και εφαρμογή των οικείων συνταγματικών διατάξεων, κατά την άσκηση των δικαιοδοτικών του καθηκόντων.  Σημαντική βοήθεια, στην πορεία εντός αυτής της ερμηνευτικής οδού και μεθόδου</w:t>
      </w:r>
      <w:r w:rsidR="009158B4">
        <w:rPr>
          <w:rFonts w:ascii="Bookman Old Style" w:hAnsi="Bookman Old Style"/>
          <w:sz w:val="24"/>
          <w:szCs w:val="24"/>
        </w:rPr>
        <w:t>,</w:t>
      </w:r>
      <w:r w:rsidR="00AC23FA">
        <w:rPr>
          <w:rFonts w:ascii="Bookman Old Style" w:hAnsi="Bookman Old Style"/>
          <w:sz w:val="24"/>
          <w:szCs w:val="24"/>
        </w:rPr>
        <w:t xml:space="preserve"> μπορούν να παράσχουν οι γενικές αρχές -</w:t>
      </w:r>
      <w:r w:rsidR="008B3434">
        <w:rPr>
          <w:rFonts w:ascii="Bookman Old Style" w:hAnsi="Bookman Old Style"/>
          <w:sz w:val="24"/>
          <w:szCs w:val="24"/>
        </w:rPr>
        <w:t xml:space="preserve">που συνάγονται συνήθως από το ΔΕΕ αλλά στην διαμόρφωση των οποίων σημαντικός, καίτοι εν πολλοίς συμπληρωματικός, είναι ο ρόλος των Εθνικών </w:t>
      </w:r>
      <w:r w:rsidR="009158B4">
        <w:rPr>
          <w:rFonts w:ascii="Bookman Old Style" w:hAnsi="Bookman Old Style"/>
          <w:sz w:val="24"/>
          <w:szCs w:val="24"/>
        </w:rPr>
        <w:t>Δ</w:t>
      </w:r>
      <w:r w:rsidR="008B3434">
        <w:rPr>
          <w:rFonts w:ascii="Bookman Old Style" w:hAnsi="Bookman Old Style"/>
          <w:sz w:val="24"/>
          <w:szCs w:val="24"/>
        </w:rPr>
        <w:t xml:space="preserve">ικαστηρίων των Κρατών-Μελών της Ευρωπαϊκής Ένωσης- του Ευρωπαϊκού Δικαίου.  Πρόκειται για γενικές αρχές, οι οποίες συνάγονται από </w:t>
      </w:r>
      <w:r w:rsidR="00EA2897">
        <w:rPr>
          <w:rFonts w:ascii="Bookman Old Style" w:hAnsi="Bookman Old Style"/>
          <w:sz w:val="24"/>
          <w:szCs w:val="24"/>
        </w:rPr>
        <w:t xml:space="preserve">το Ευρωπαϊκό Δίκαιο αλλά και από τις κοινές στα Κράτη-Μέλη της Ευρωπαϊκής Ένωσης συνταγματικές παραδόσεις, ενώ </w:t>
      </w:r>
      <w:r w:rsidR="009158B4">
        <w:rPr>
          <w:rFonts w:ascii="Bookman Old Style" w:hAnsi="Bookman Old Style"/>
          <w:sz w:val="24"/>
          <w:szCs w:val="24"/>
        </w:rPr>
        <w:t>ιδιαίτερη είναι και η συμβολή της</w:t>
      </w:r>
      <w:r w:rsidR="00EA2897">
        <w:rPr>
          <w:rFonts w:ascii="Bookman Old Style" w:hAnsi="Bookman Old Style"/>
          <w:sz w:val="24"/>
          <w:szCs w:val="24"/>
        </w:rPr>
        <w:t xml:space="preserve"> Ευρωπαϊκή</w:t>
      </w:r>
      <w:r w:rsidR="009158B4">
        <w:rPr>
          <w:rFonts w:ascii="Bookman Old Style" w:hAnsi="Bookman Old Style"/>
          <w:sz w:val="24"/>
          <w:szCs w:val="24"/>
        </w:rPr>
        <w:t>ς</w:t>
      </w:r>
      <w:r w:rsidR="00EA2897">
        <w:rPr>
          <w:rFonts w:ascii="Bookman Old Style" w:hAnsi="Bookman Old Style"/>
          <w:sz w:val="24"/>
          <w:szCs w:val="24"/>
        </w:rPr>
        <w:t xml:space="preserve"> Σύμβασης των Δικαιωμάτων του Ανθρώπου, </w:t>
      </w:r>
      <w:r w:rsidR="009158B4">
        <w:rPr>
          <w:rFonts w:ascii="Bookman Old Style" w:hAnsi="Bookman Old Style"/>
          <w:sz w:val="24"/>
          <w:szCs w:val="24"/>
        </w:rPr>
        <w:t xml:space="preserve">ως </w:t>
      </w:r>
      <w:r w:rsidR="00EA2897">
        <w:rPr>
          <w:rFonts w:ascii="Bookman Old Style" w:hAnsi="Bookman Old Style"/>
          <w:sz w:val="24"/>
          <w:szCs w:val="24"/>
        </w:rPr>
        <w:t>«πηγή</w:t>
      </w:r>
      <w:r w:rsidR="009158B4">
        <w:rPr>
          <w:rFonts w:ascii="Bookman Old Style" w:hAnsi="Bookman Old Style"/>
          <w:sz w:val="24"/>
          <w:szCs w:val="24"/>
        </w:rPr>
        <w:t>ς</w:t>
      </w:r>
      <w:r w:rsidR="00EA2897">
        <w:rPr>
          <w:rFonts w:ascii="Bookman Old Style" w:hAnsi="Bookman Old Style"/>
          <w:sz w:val="24"/>
          <w:szCs w:val="24"/>
        </w:rPr>
        <w:t xml:space="preserve"> έμπνευσης» τέτοιων γενικών αρχών για την Ευρωπαϊκή Έννομη Τάξη εν γένει (βλ., π.χ., ΔΕΕ 222/1986, 15.10.1987, </w:t>
      </w:r>
      <w:r w:rsidR="00EA2897">
        <w:rPr>
          <w:rFonts w:ascii="Bookman Old Style" w:hAnsi="Bookman Old Style"/>
          <w:sz w:val="24"/>
          <w:szCs w:val="24"/>
          <w:lang w:val="en-US"/>
        </w:rPr>
        <w:t>UNECTEF</w:t>
      </w:r>
      <w:r w:rsidR="00EA2897" w:rsidRPr="00EA2897">
        <w:rPr>
          <w:rFonts w:ascii="Bookman Old Style" w:hAnsi="Bookman Old Style"/>
          <w:sz w:val="24"/>
          <w:szCs w:val="24"/>
        </w:rPr>
        <w:t xml:space="preserve">, </w:t>
      </w:r>
      <w:r w:rsidR="00EA2897">
        <w:rPr>
          <w:rFonts w:ascii="Bookman Old Style" w:hAnsi="Bookman Old Style"/>
          <w:sz w:val="24"/>
          <w:szCs w:val="24"/>
          <w:lang w:val="en-US"/>
        </w:rPr>
        <w:t>Rec</w:t>
      </w:r>
      <w:r w:rsidR="00EA2897" w:rsidRPr="00EA2897">
        <w:rPr>
          <w:rFonts w:ascii="Bookman Old Style" w:hAnsi="Bookman Old Style"/>
          <w:sz w:val="24"/>
          <w:szCs w:val="24"/>
        </w:rPr>
        <w:t xml:space="preserve">, 1987, </w:t>
      </w:r>
      <w:r w:rsidR="00EA2897">
        <w:rPr>
          <w:rFonts w:ascii="Bookman Old Style" w:hAnsi="Bookman Old Style"/>
          <w:sz w:val="24"/>
          <w:szCs w:val="24"/>
        </w:rPr>
        <w:t xml:space="preserve">σελ. 4097). </w:t>
      </w:r>
    </w:p>
    <w:p w:rsidR="0044484E" w:rsidRDefault="0044484E" w:rsidP="00303AFA">
      <w:pPr>
        <w:pStyle w:val="a3"/>
        <w:spacing w:before="100" w:beforeAutospacing="1" w:after="100" w:afterAutospacing="1" w:line="360" w:lineRule="auto"/>
        <w:ind w:left="851" w:hanging="284"/>
        <w:contextualSpacing w:val="0"/>
        <w:jc w:val="both"/>
        <w:rPr>
          <w:rFonts w:ascii="Bookman Old Style" w:hAnsi="Bookman Old Style"/>
          <w:b/>
          <w:sz w:val="24"/>
          <w:szCs w:val="24"/>
        </w:rPr>
      </w:pPr>
      <w:r>
        <w:rPr>
          <w:rFonts w:ascii="Bookman Old Style" w:hAnsi="Bookman Old Style"/>
          <w:b/>
          <w:sz w:val="24"/>
          <w:szCs w:val="24"/>
        </w:rPr>
        <w:t>2. Οι άμεσες δικονομικές κινήσεις.</w:t>
      </w:r>
    </w:p>
    <w:p w:rsidR="00EA2897" w:rsidRDefault="00EA2897" w:rsidP="0044484E">
      <w:pPr>
        <w:pStyle w:val="a3"/>
        <w:spacing w:before="100" w:beforeAutospacing="1" w:after="100" w:afterAutospacing="1" w:line="360" w:lineRule="auto"/>
        <w:ind w:left="851"/>
        <w:contextualSpacing w:val="0"/>
        <w:jc w:val="both"/>
        <w:rPr>
          <w:rFonts w:ascii="Bookman Old Style" w:hAnsi="Bookman Old Style"/>
          <w:sz w:val="24"/>
          <w:szCs w:val="24"/>
        </w:rPr>
      </w:pPr>
      <w:r>
        <w:rPr>
          <w:rFonts w:ascii="Bookman Old Style" w:hAnsi="Bookman Old Style"/>
          <w:sz w:val="24"/>
          <w:szCs w:val="24"/>
        </w:rPr>
        <w:t xml:space="preserve">Ως προς τις κινήσεις που πρέπει να γίνουν αμέσως, ώστε τα θεσμοθετημένα αρμόδια όργανα της Ευρωπαϊκής Ένωσης ν’ αντιδράσουν καταλλήλως και «να στείλουν το μήνυμα» προς το Βερολίνο και την Καρλσρούη ότι δεν είναι διατεθειμένα να τηρήσουν παθητική και ανεκτική στάση μπροστά στην ευθεία </w:t>
      </w:r>
      <w:r w:rsidR="009158B4">
        <w:rPr>
          <w:rFonts w:ascii="Bookman Old Style" w:hAnsi="Bookman Old Style"/>
          <w:sz w:val="24"/>
          <w:szCs w:val="24"/>
        </w:rPr>
        <w:t xml:space="preserve">πλέον </w:t>
      </w:r>
      <w:r>
        <w:rPr>
          <w:rFonts w:ascii="Bookman Old Style" w:hAnsi="Bookman Old Style"/>
          <w:sz w:val="24"/>
          <w:szCs w:val="24"/>
        </w:rPr>
        <w:t xml:space="preserve">αμφισβήτηση της ενότητας και της ασφάλειας του δικαίου </w:t>
      </w:r>
      <w:r>
        <w:rPr>
          <w:rFonts w:ascii="Bookman Old Style" w:hAnsi="Bookman Old Style"/>
          <w:sz w:val="24"/>
          <w:szCs w:val="24"/>
        </w:rPr>
        <w:lastRenderedPageBreak/>
        <w:t xml:space="preserve">της Ευρωπαϊκής Έννομης Τάξης καθώς και του δικαιοδοτικού κύρους του ΔΕΕ κατά το Ευρωπαϊκό Δίκαιο, παρατηρούνται τα εξής: </w:t>
      </w:r>
    </w:p>
    <w:p w:rsidR="00D35400" w:rsidRDefault="0044484E" w:rsidP="00303AFA">
      <w:pPr>
        <w:spacing w:line="360" w:lineRule="auto"/>
        <w:ind w:left="1134" w:hanging="283"/>
        <w:jc w:val="both"/>
        <w:rPr>
          <w:rFonts w:ascii="Bookman Old Style" w:hAnsi="Bookman Old Style"/>
          <w:sz w:val="24"/>
          <w:szCs w:val="24"/>
        </w:rPr>
      </w:pPr>
      <w:r>
        <w:rPr>
          <w:rFonts w:ascii="Bookman Old Style" w:hAnsi="Bookman Old Style"/>
          <w:b/>
          <w:sz w:val="24"/>
          <w:szCs w:val="24"/>
        </w:rPr>
        <w:t>α</w:t>
      </w:r>
      <w:r w:rsidR="00360A29">
        <w:rPr>
          <w:rFonts w:ascii="Bookman Old Style" w:hAnsi="Bookman Old Style"/>
          <w:b/>
          <w:sz w:val="24"/>
          <w:szCs w:val="24"/>
        </w:rPr>
        <w:t xml:space="preserve">) </w:t>
      </w:r>
      <w:r w:rsidR="00360A29">
        <w:rPr>
          <w:rFonts w:ascii="Bookman Old Style" w:hAnsi="Bookman Old Style"/>
          <w:sz w:val="24"/>
          <w:szCs w:val="24"/>
        </w:rPr>
        <w:t>Θα</w:t>
      </w:r>
      <w:r w:rsidR="00D35400">
        <w:rPr>
          <w:rFonts w:ascii="Bookman Old Style" w:hAnsi="Bookman Old Style"/>
          <w:sz w:val="24"/>
          <w:szCs w:val="24"/>
        </w:rPr>
        <w:t xml:space="preserve"> ήταν λάθος να χρησιμοποιηθούν, είτε από την Ευρωπαϊκή Επιτροπή είτε από Κράτος-Μέλος, οι διαδικασίες προσφυγής κατά </w:t>
      </w:r>
      <w:r w:rsidR="00360A29">
        <w:rPr>
          <w:rFonts w:ascii="Bookman Old Style" w:hAnsi="Bookman Old Style"/>
          <w:sz w:val="24"/>
          <w:szCs w:val="24"/>
        </w:rPr>
        <w:t xml:space="preserve">του Ομοσπονδιακού Συνταγματικού Δικαστηρίου </w:t>
      </w:r>
      <w:r w:rsidR="00D35400">
        <w:rPr>
          <w:rFonts w:ascii="Bookman Old Style" w:hAnsi="Bookman Old Style"/>
          <w:sz w:val="24"/>
          <w:szCs w:val="24"/>
        </w:rPr>
        <w:t xml:space="preserve">της Γερμανίας </w:t>
      </w:r>
      <w:r w:rsidR="00360A29">
        <w:rPr>
          <w:rFonts w:ascii="Bookman Old Style" w:hAnsi="Bookman Old Style"/>
          <w:sz w:val="24"/>
          <w:szCs w:val="24"/>
        </w:rPr>
        <w:t xml:space="preserve">των διατάξεων των άρθρων </w:t>
      </w:r>
      <w:r w:rsidR="00D35400">
        <w:rPr>
          <w:rFonts w:ascii="Bookman Old Style" w:hAnsi="Bookman Old Style"/>
          <w:sz w:val="24"/>
          <w:szCs w:val="24"/>
        </w:rPr>
        <w:t xml:space="preserve"> 258-259 της Συνθήκης της Λειτουργίας της Ευρωπαϊκής Ένωσης.  Και τούτο διότι αφενός θα οξύνουν, χωρίς αποτέλεσμα μάλιστα, το κλίμα  και, αφετέρου,  ακόμη και σε περίπτωση καταδίκης της από το </w:t>
      </w:r>
      <w:r w:rsidR="009158B4">
        <w:rPr>
          <w:rFonts w:ascii="Bookman Old Style" w:hAnsi="Bookman Old Style"/>
          <w:sz w:val="24"/>
          <w:szCs w:val="24"/>
        </w:rPr>
        <w:t>ΔΕΕ</w:t>
      </w:r>
      <w:r w:rsidR="00D35400">
        <w:rPr>
          <w:rFonts w:ascii="Bookman Old Style" w:hAnsi="Bookman Old Style"/>
          <w:sz w:val="24"/>
          <w:szCs w:val="24"/>
        </w:rPr>
        <w:t xml:space="preserve">, η </w:t>
      </w:r>
      <w:r w:rsidR="00360A29">
        <w:rPr>
          <w:rFonts w:ascii="Bookman Old Style" w:hAnsi="Bookman Old Style"/>
          <w:sz w:val="24"/>
          <w:szCs w:val="24"/>
        </w:rPr>
        <w:t xml:space="preserve">Ομοσπονδιακή Δημοκρατία της </w:t>
      </w:r>
      <w:r w:rsidR="00D35400">
        <w:rPr>
          <w:rFonts w:ascii="Bookman Old Style" w:hAnsi="Bookman Old Style"/>
          <w:sz w:val="24"/>
          <w:szCs w:val="24"/>
        </w:rPr>
        <w:t>Γερμανία</w:t>
      </w:r>
      <w:r w:rsidR="00360A29">
        <w:rPr>
          <w:rFonts w:ascii="Bookman Old Style" w:hAnsi="Bookman Old Style"/>
          <w:sz w:val="24"/>
          <w:szCs w:val="24"/>
        </w:rPr>
        <w:t>ς</w:t>
      </w:r>
      <w:r w:rsidR="00D35400">
        <w:rPr>
          <w:rFonts w:ascii="Bookman Old Style" w:hAnsi="Bookman Old Style"/>
          <w:sz w:val="24"/>
          <w:szCs w:val="24"/>
        </w:rPr>
        <w:t xml:space="preserve"> θα «περιχαρακωθεί», επικαλούμενη το Σύνταγμά της, πίσω από τη δεσμευτικότητα των αποφάσεων του Ομοσπονδιακού Συνταγματικού Δικαστηρίου </w:t>
      </w:r>
      <w:r w:rsidR="00360A29">
        <w:rPr>
          <w:rFonts w:ascii="Bookman Old Style" w:hAnsi="Bookman Old Style"/>
          <w:sz w:val="24"/>
          <w:szCs w:val="24"/>
        </w:rPr>
        <w:t xml:space="preserve">της. </w:t>
      </w:r>
      <w:r w:rsidR="00D35400">
        <w:rPr>
          <w:rFonts w:ascii="Bookman Old Style" w:hAnsi="Bookman Old Style"/>
          <w:sz w:val="24"/>
          <w:szCs w:val="24"/>
        </w:rPr>
        <w:t xml:space="preserve">  Έτσι θα κερδίζει χρόνο και θα συνεχίζει την, άκρως μειωτική, για τα ευρωπαϊκά όργανα τακτική της.</w:t>
      </w:r>
    </w:p>
    <w:p w:rsidR="00D35400" w:rsidRDefault="00360A29" w:rsidP="00303AFA">
      <w:pPr>
        <w:spacing w:line="360" w:lineRule="auto"/>
        <w:ind w:left="1134" w:hanging="283"/>
        <w:jc w:val="both"/>
        <w:rPr>
          <w:rFonts w:ascii="Bookman Old Style" w:hAnsi="Bookman Old Style"/>
          <w:sz w:val="24"/>
          <w:szCs w:val="24"/>
        </w:rPr>
      </w:pPr>
      <w:r>
        <w:rPr>
          <w:rFonts w:ascii="Bookman Old Style" w:hAnsi="Bookman Old Style"/>
          <w:b/>
          <w:sz w:val="24"/>
          <w:szCs w:val="24"/>
        </w:rPr>
        <w:t xml:space="preserve">β) </w:t>
      </w:r>
      <w:r>
        <w:rPr>
          <w:rFonts w:ascii="Bookman Old Style" w:hAnsi="Bookman Old Style"/>
          <w:sz w:val="24"/>
          <w:szCs w:val="24"/>
        </w:rPr>
        <w:t>Είναι πολύ προτιμότερο ν’ ακολουθηθεί η εξής διαδικαστική τακτική,</w:t>
      </w:r>
      <w:r w:rsidR="00D35400">
        <w:rPr>
          <w:rFonts w:ascii="Bookman Old Style" w:hAnsi="Bookman Old Style"/>
          <w:sz w:val="24"/>
          <w:szCs w:val="24"/>
        </w:rPr>
        <w:t xml:space="preserve"> με «όπλο» την ίδια την απόφαση «</w:t>
      </w:r>
      <w:r w:rsidR="00D35400">
        <w:rPr>
          <w:rFonts w:ascii="Bookman Old Style" w:hAnsi="Bookman Old Style"/>
          <w:sz w:val="24"/>
          <w:szCs w:val="24"/>
          <w:lang w:val="en-US"/>
        </w:rPr>
        <w:t>Weiss</w:t>
      </w:r>
      <w:r w:rsidR="00D35400">
        <w:rPr>
          <w:rFonts w:ascii="Bookman Old Style" w:hAnsi="Bookman Old Style"/>
          <w:sz w:val="24"/>
          <w:szCs w:val="24"/>
        </w:rPr>
        <w:t>» του Ομοσπονδιακού Συνταγματικού Δικαστηρίου της Γερμανίας:</w:t>
      </w:r>
    </w:p>
    <w:p w:rsidR="00360A29" w:rsidRDefault="0044484E" w:rsidP="00111294">
      <w:pPr>
        <w:pStyle w:val="a3"/>
        <w:spacing w:line="360" w:lineRule="auto"/>
        <w:ind w:left="1418" w:hanging="284"/>
        <w:contextualSpacing w:val="0"/>
        <w:jc w:val="both"/>
        <w:rPr>
          <w:rFonts w:ascii="Bookman Old Style" w:hAnsi="Bookman Old Style"/>
          <w:sz w:val="24"/>
          <w:szCs w:val="24"/>
        </w:rPr>
      </w:pPr>
      <w:r>
        <w:rPr>
          <w:rFonts w:ascii="Bookman Old Style" w:hAnsi="Bookman Old Style"/>
          <w:b/>
          <w:sz w:val="24"/>
          <w:szCs w:val="24"/>
        </w:rPr>
        <w:t xml:space="preserve">β1) </w:t>
      </w:r>
      <w:r w:rsidR="00D35400" w:rsidRPr="00360A29">
        <w:rPr>
          <w:rFonts w:ascii="Bookman Old Style" w:hAnsi="Bookman Old Style"/>
          <w:b/>
          <w:sz w:val="24"/>
          <w:szCs w:val="24"/>
        </w:rPr>
        <w:t>Πρώτον</w:t>
      </w:r>
      <w:r w:rsidR="00D35400" w:rsidRPr="00360A29">
        <w:rPr>
          <w:rFonts w:ascii="Bookman Old Style" w:hAnsi="Bookman Old Style"/>
          <w:sz w:val="24"/>
          <w:szCs w:val="24"/>
        </w:rPr>
        <w:t>, η Ευρωπαϊκή Κεντρική Τράπεζα, ως όργανο της Ευρωπαϊκής Ένωσης που αντλεί τις αρμοδιότητές τ</w:t>
      </w:r>
      <w:r w:rsidR="00AE277D">
        <w:rPr>
          <w:rFonts w:ascii="Bookman Old Style" w:hAnsi="Bookman Old Style"/>
          <w:sz w:val="24"/>
          <w:szCs w:val="24"/>
        </w:rPr>
        <w:t>ου</w:t>
      </w:r>
      <w:r w:rsidR="00D35400" w:rsidRPr="00360A29">
        <w:rPr>
          <w:rFonts w:ascii="Bookman Old Style" w:hAnsi="Bookman Old Style"/>
          <w:sz w:val="24"/>
          <w:szCs w:val="24"/>
        </w:rPr>
        <w:t xml:space="preserve"> από το Ευρωπαϊκό Δίκαιο, οφείλει πάραυτα να τονίσει ότι δεσμεύεται από την απόφαση και την ερμηνεία του </w:t>
      </w:r>
      <w:r w:rsidR="00AE277D">
        <w:rPr>
          <w:rFonts w:ascii="Bookman Old Style" w:hAnsi="Bookman Old Style"/>
          <w:sz w:val="24"/>
          <w:szCs w:val="24"/>
        </w:rPr>
        <w:t>ΔΕΕ</w:t>
      </w:r>
      <w:r w:rsidR="00D35400" w:rsidRPr="00360A29">
        <w:rPr>
          <w:rFonts w:ascii="Bookman Old Style" w:hAnsi="Bookman Old Style"/>
          <w:sz w:val="24"/>
          <w:szCs w:val="24"/>
        </w:rPr>
        <w:t xml:space="preserve"> και ότι, κατά συνέπεια, θα συνεχίσει απρόσκοπτα την εφαρμογή των προγραμμάτων ρευστότητας </w:t>
      </w:r>
      <w:r w:rsidR="00D35400" w:rsidRPr="00360A29">
        <w:rPr>
          <w:rFonts w:ascii="Bookman Old Style" w:hAnsi="Bookman Old Style"/>
          <w:sz w:val="24"/>
          <w:szCs w:val="24"/>
          <w:lang w:val="en-US"/>
        </w:rPr>
        <w:t>OMT</w:t>
      </w:r>
      <w:r w:rsidR="00D35400" w:rsidRPr="00360A29">
        <w:rPr>
          <w:rFonts w:ascii="Bookman Old Style" w:hAnsi="Bookman Old Style"/>
          <w:sz w:val="24"/>
          <w:szCs w:val="24"/>
        </w:rPr>
        <w:t xml:space="preserve"> και </w:t>
      </w:r>
      <w:r w:rsidR="00D35400" w:rsidRPr="00360A29">
        <w:rPr>
          <w:rFonts w:ascii="Bookman Old Style" w:hAnsi="Bookman Old Style"/>
          <w:sz w:val="24"/>
          <w:szCs w:val="24"/>
          <w:lang w:val="en-US"/>
        </w:rPr>
        <w:t>PSPP</w:t>
      </w:r>
      <w:r w:rsidR="00D35400" w:rsidRPr="00360A29">
        <w:rPr>
          <w:rFonts w:ascii="Bookman Old Style" w:hAnsi="Bookman Old Style"/>
          <w:sz w:val="24"/>
          <w:szCs w:val="24"/>
        </w:rPr>
        <w:t xml:space="preserve">.  Επιπλέον, και για να ενισχύσει την  νομική πληρότητα της απόφασης του </w:t>
      </w:r>
      <w:r w:rsidR="00AE277D">
        <w:rPr>
          <w:rFonts w:ascii="Bookman Old Style" w:hAnsi="Bookman Old Style"/>
          <w:sz w:val="24"/>
          <w:szCs w:val="24"/>
        </w:rPr>
        <w:t>ΔΕΕ</w:t>
      </w:r>
      <w:r w:rsidR="00D35400" w:rsidRPr="00360A29">
        <w:rPr>
          <w:rFonts w:ascii="Bookman Old Style" w:hAnsi="Bookman Old Style"/>
          <w:sz w:val="24"/>
          <w:szCs w:val="24"/>
        </w:rPr>
        <w:t xml:space="preserve"> που έκρινε το προδικαστικό ερώτημα του </w:t>
      </w:r>
      <w:r w:rsidR="00360A29">
        <w:rPr>
          <w:rFonts w:ascii="Bookman Old Style" w:hAnsi="Bookman Old Style"/>
          <w:sz w:val="24"/>
          <w:szCs w:val="24"/>
        </w:rPr>
        <w:t xml:space="preserve">Ομοσπονδιακού </w:t>
      </w:r>
      <w:r w:rsidR="00D35400" w:rsidRPr="00360A29">
        <w:rPr>
          <w:rFonts w:ascii="Bookman Old Style" w:hAnsi="Bookman Old Style"/>
          <w:sz w:val="24"/>
          <w:szCs w:val="24"/>
        </w:rPr>
        <w:t>Συνταγματικού Δικαστηρίου της Γερμανίας, πρέπει να τεκμηριώσει συμπληρωματικώς γιατί και πώς τα προγράμματα αυτά είναι απολύτως σύμφωνα με το Ευρωπαϊκό Δίκαιο.</w:t>
      </w:r>
    </w:p>
    <w:p w:rsidR="00111294" w:rsidRDefault="00111294" w:rsidP="00111294">
      <w:pPr>
        <w:pStyle w:val="a3"/>
        <w:spacing w:line="360" w:lineRule="auto"/>
        <w:ind w:left="1418" w:hanging="284"/>
        <w:contextualSpacing w:val="0"/>
        <w:jc w:val="both"/>
        <w:rPr>
          <w:rFonts w:ascii="Bookman Old Style" w:hAnsi="Bookman Old Style"/>
          <w:sz w:val="24"/>
          <w:szCs w:val="24"/>
        </w:rPr>
      </w:pPr>
      <w:r>
        <w:rPr>
          <w:rFonts w:ascii="Bookman Old Style" w:hAnsi="Bookman Old Style"/>
          <w:b/>
          <w:sz w:val="24"/>
          <w:szCs w:val="24"/>
        </w:rPr>
        <w:lastRenderedPageBreak/>
        <w:t xml:space="preserve">β2) </w:t>
      </w:r>
      <w:r w:rsidR="00D35400" w:rsidRPr="00360A29">
        <w:rPr>
          <w:rFonts w:ascii="Bookman Old Style" w:hAnsi="Bookman Old Style"/>
          <w:b/>
          <w:sz w:val="24"/>
          <w:szCs w:val="24"/>
        </w:rPr>
        <w:t>Δεύτερον</w:t>
      </w:r>
      <w:r w:rsidR="00D35400" w:rsidRPr="00360A29">
        <w:rPr>
          <w:rFonts w:ascii="Bookman Old Style" w:hAnsi="Bookman Old Style"/>
          <w:sz w:val="24"/>
          <w:szCs w:val="24"/>
        </w:rPr>
        <w:t>, αυτές τις θέσεις της, με τη</w:t>
      </w:r>
      <w:r w:rsidR="00360A29">
        <w:rPr>
          <w:rFonts w:ascii="Bookman Old Style" w:hAnsi="Bookman Old Style"/>
          <w:sz w:val="24"/>
          <w:szCs w:val="24"/>
        </w:rPr>
        <w:t>ν</w:t>
      </w:r>
      <w:r w:rsidR="00D35400" w:rsidRPr="00360A29">
        <w:rPr>
          <w:rFonts w:ascii="Bookman Old Style" w:hAnsi="Bookman Old Style"/>
          <w:sz w:val="24"/>
          <w:szCs w:val="24"/>
        </w:rPr>
        <w:t xml:space="preserve"> συμπληρωματική τεκμηρίωση, η Ευρωπαϊκή Κεντρική Τράπεζα πρέπει να τις κοινοποιήσει αμέσως στη </w:t>
      </w:r>
      <w:bookmarkStart w:id="1" w:name="_Hlk42257125"/>
      <w:r w:rsidR="00D35400" w:rsidRPr="00360A29">
        <w:rPr>
          <w:rFonts w:ascii="Bookman Old Style" w:hAnsi="Bookman Old Style"/>
          <w:sz w:val="24"/>
          <w:szCs w:val="24"/>
          <w:lang w:val="en-US"/>
        </w:rPr>
        <w:t>Bundesbank</w:t>
      </w:r>
      <w:bookmarkEnd w:id="1"/>
      <w:r w:rsidR="00D35400" w:rsidRPr="00360A29">
        <w:rPr>
          <w:rFonts w:ascii="Bookman Old Style" w:hAnsi="Bookman Old Style"/>
          <w:sz w:val="24"/>
          <w:szCs w:val="24"/>
        </w:rPr>
        <w:t xml:space="preserve">, τονίζοντάς της ότι υπό τις προϋποθέσεις αυτές οφείλει να συμπράξει και εκείνη στην πλήρη εφαρμογή του </w:t>
      </w:r>
      <w:r w:rsidR="00D35400" w:rsidRPr="00360A29">
        <w:rPr>
          <w:rFonts w:ascii="Bookman Old Style" w:hAnsi="Bookman Old Style"/>
          <w:sz w:val="24"/>
          <w:szCs w:val="24"/>
          <w:lang w:val="en-US"/>
        </w:rPr>
        <w:t>PSPP</w:t>
      </w:r>
      <w:r w:rsidR="00360A29">
        <w:rPr>
          <w:rFonts w:ascii="Bookman Old Style" w:hAnsi="Bookman Old Style"/>
          <w:sz w:val="24"/>
          <w:szCs w:val="24"/>
        </w:rPr>
        <w:t>, αφού έτσι δεν έχει έρεισμα άρνησης ούτε με βάση το Ευρωπαϊκό Δίκαιο</w:t>
      </w:r>
      <w:r w:rsidR="00AE277D">
        <w:rPr>
          <w:rFonts w:ascii="Bookman Old Style" w:hAnsi="Bookman Old Style"/>
          <w:sz w:val="24"/>
          <w:szCs w:val="24"/>
        </w:rPr>
        <w:t>,</w:t>
      </w:r>
      <w:r w:rsidR="00360A29">
        <w:rPr>
          <w:rFonts w:ascii="Bookman Old Style" w:hAnsi="Bookman Old Style"/>
          <w:sz w:val="24"/>
          <w:szCs w:val="24"/>
        </w:rPr>
        <w:t xml:space="preserve"> ούτε καν με βάση το ίδιο το Σύνταγμα της Ομοσπονδιακής Δημοκρατίας της Γερμανίας. </w:t>
      </w:r>
    </w:p>
    <w:p w:rsidR="00111294" w:rsidRDefault="00111294" w:rsidP="00111294">
      <w:pPr>
        <w:pStyle w:val="a3"/>
        <w:spacing w:line="360" w:lineRule="auto"/>
        <w:ind w:left="1418" w:hanging="284"/>
        <w:contextualSpacing w:val="0"/>
        <w:jc w:val="both"/>
        <w:rPr>
          <w:rFonts w:ascii="Bookman Old Style" w:hAnsi="Bookman Old Style"/>
          <w:sz w:val="24"/>
          <w:szCs w:val="24"/>
        </w:rPr>
      </w:pPr>
      <w:r>
        <w:rPr>
          <w:rFonts w:ascii="Bookman Old Style" w:hAnsi="Bookman Old Style"/>
          <w:b/>
          <w:sz w:val="24"/>
          <w:szCs w:val="24"/>
        </w:rPr>
        <w:t xml:space="preserve">β3) </w:t>
      </w:r>
      <w:r w:rsidR="00D35400" w:rsidRPr="00111294">
        <w:rPr>
          <w:rFonts w:ascii="Bookman Old Style" w:hAnsi="Bookman Old Style"/>
          <w:b/>
          <w:sz w:val="24"/>
          <w:szCs w:val="24"/>
        </w:rPr>
        <w:t>Τρίτον</w:t>
      </w:r>
      <w:r w:rsidR="00D35400" w:rsidRPr="00111294">
        <w:rPr>
          <w:rFonts w:ascii="Bookman Old Style" w:hAnsi="Bookman Old Style"/>
          <w:sz w:val="24"/>
          <w:szCs w:val="24"/>
        </w:rPr>
        <w:t xml:space="preserve">, αν η </w:t>
      </w:r>
      <w:bookmarkStart w:id="2" w:name="_Hlk42257246"/>
      <w:r w:rsidR="00D35400" w:rsidRPr="00111294">
        <w:rPr>
          <w:rFonts w:ascii="Bookman Old Style" w:hAnsi="Bookman Old Style"/>
          <w:sz w:val="24"/>
          <w:szCs w:val="24"/>
          <w:lang w:val="en-US"/>
        </w:rPr>
        <w:t>Bundesbank</w:t>
      </w:r>
      <w:bookmarkEnd w:id="2"/>
      <w:r w:rsidR="00D35400" w:rsidRPr="00111294">
        <w:rPr>
          <w:rFonts w:ascii="Bookman Old Style" w:hAnsi="Bookman Old Style"/>
          <w:sz w:val="24"/>
          <w:szCs w:val="24"/>
        </w:rPr>
        <w:t xml:space="preserve">, με τις πρόσθετες επεξηγήσεις της Ευρωπαϊκής Κεντρικής Τράπεζας, θελήσει να βρει διέξοδο συμβιβασμού – που θα ήταν εκ μέρους της δείγμα καλής θέλησης επίλυσης του προβλήματος – και να εφαρμόσει το </w:t>
      </w:r>
      <w:r w:rsidR="00D35400" w:rsidRPr="00111294">
        <w:rPr>
          <w:rFonts w:ascii="Bookman Old Style" w:hAnsi="Bookman Old Style"/>
          <w:sz w:val="24"/>
          <w:szCs w:val="24"/>
          <w:lang w:val="en-US"/>
        </w:rPr>
        <w:t>PSPP</w:t>
      </w:r>
      <w:r w:rsidR="00D35400" w:rsidRPr="00111294">
        <w:rPr>
          <w:rFonts w:ascii="Bookman Old Style" w:hAnsi="Bookman Old Style"/>
          <w:sz w:val="24"/>
          <w:szCs w:val="24"/>
        </w:rPr>
        <w:t xml:space="preserve">, τόσο το </w:t>
      </w:r>
      <w:r w:rsidR="00360A29" w:rsidRPr="00111294">
        <w:rPr>
          <w:rFonts w:ascii="Bookman Old Style" w:hAnsi="Bookman Old Style"/>
          <w:sz w:val="24"/>
          <w:szCs w:val="24"/>
        </w:rPr>
        <w:t>καλλίτερο</w:t>
      </w:r>
      <w:r w:rsidR="00D35400" w:rsidRPr="00111294">
        <w:rPr>
          <w:rFonts w:ascii="Bookman Old Style" w:hAnsi="Bookman Old Style"/>
          <w:sz w:val="24"/>
          <w:szCs w:val="24"/>
        </w:rPr>
        <w:t>.</w:t>
      </w:r>
    </w:p>
    <w:p w:rsidR="00D35400" w:rsidRPr="00111294" w:rsidRDefault="00111294" w:rsidP="00111294">
      <w:pPr>
        <w:pStyle w:val="a3"/>
        <w:spacing w:line="360" w:lineRule="auto"/>
        <w:ind w:left="1418" w:hanging="284"/>
        <w:contextualSpacing w:val="0"/>
        <w:jc w:val="both"/>
        <w:rPr>
          <w:rFonts w:ascii="Bookman Old Style" w:hAnsi="Bookman Old Style"/>
          <w:sz w:val="24"/>
          <w:szCs w:val="24"/>
        </w:rPr>
      </w:pPr>
      <w:r>
        <w:rPr>
          <w:rFonts w:ascii="Bookman Old Style" w:hAnsi="Bookman Old Style"/>
          <w:b/>
          <w:sz w:val="24"/>
          <w:szCs w:val="24"/>
        </w:rPr>
        <w:t xml:space="preserve">β4) </w:t>
      </w:r>
      <w:r w:rsidR="00D35400" w:rsidRPr="00111294">
        <w:rPr>
          <w:rFonts w:ascii="Bookman Old Style" w:hAnsi="Bookman Old Style"/>
          <w:b/>
          <w:sz w:val="24"/>
          <w:szCs w:val="24"/>
        </w:rPr>
        <w:t>Τέταρτον</w:t>
      </w:r>
      <w:r w:rsidR="00D35400" w:rsidRPr="00111294">
        <w:rPr>
          <w:rFonts w:ascii="Bookman Old Style" w:hAnsi="Bookman Old Style"/>
          <w:sz w:val="24"/>
          <w:szCs w:val="24"/>
        </w:rPr>
        <w:t xml:space="preserve"> αν, αντιθέτως, η </w:t>
      </w:r>
      <w:r w:rsidR="00D35400" w:rsidRPr="00111294">
        <w:rPr>
          <w:rFonts w:ascii="Bookman Old Style" w:hAnsi="Bookman Old Style"/>
          <w:sz w:val="24"/>
          <w:szCs w:val="24"/>
          <w:lang w:val="en-US"/>
        </w:rPr>
        <w:t>Bundesbank</w:t>
      </w:r>
      <w:r w:rsidR="00D35400" w:rsidRPr="00111294">
        <w:rPr>
          <w:rFonts w:ascii="Bookman Old Style" w:hAnsi="Bookman Old Style"/>
          <w:sz w:val="24"/>
          <w:szCs w:val="24"/>
        </w:rPr>
        <w:t xml:space="preserve"> εμείνει στην άρνησή της, επικαλούμενη την απόφαση «</w:t>
      </w:r>
      <w:r w:rsidR="00D35400" w:rsidRPr="00111294">
        <w:rPr>
          <w:rFonts w:ascii="Bookman Old Style" w:hAnsi="Bookman Old Style"/>
          <w:sz w:val="24"/>
          <w:szCs w:val="24"/>
          <w:lang w:val="en-US"/>
        </w:rPr>
        <w:t>Weiss</w:t>
      </w:r>
      <w:r w:rsidR="00D35400" w:rsidRPr="00111294">
        <w:rPr>
          <w:rFonts w:ascii="Bookman Old Style" w:hAnsi="Bookman Old Style"/>
          <w:sz w:val="24"/>
          <w:szCs w:val="24"/>
        </w:rPr>
        <w:t xml:space="preserve">» του Ομοσπονδιακού Συνταγματικού Δικαστηρίου της Γερμανίας, τότε ανοίγεται ο δρόμος </w:t>
      </w:r>
      <w:r w:rsidR="00CF2245" w:rsidRPr="00111294">
        <w:rPr>
          <w:rFonts w:ascii="Bookman Old Style" w:hAnsi="Bookman Old Style"/>
          <w:sz w:val="24"/>
          <w:szCs w:val="24"/>
        </w:rPr>
        <w:t xml:space="preserve">προσφυγής στο ΔΕΕ είτε κατά της </w:t>
      </w:r>
      <w:r w:rsidR="00CF2245" w:rsidRPr="00111294">
        <w:rPr>
          <w:rFonts w:ascii="Bookman Old Style" w:hAnsi="Bookman Old Style"/>
          <w:sz w:val="24"/>
          <w:szCs w:val="24"/>
          <w:lang w:val="en-US"/>
        </w:rPr>
        <w:t>Bundesbank</w:t>
      </w:r>
      <w:r w:rsidR="00CF2245" w:rsidRPr="00111294">
        <w:rPr>
          <w:rFonts w:ascii="Bookman Old Style" w:hAnsi="Bookman Old Style"/>
          <w:sz w:val="24"/>
          <w:szCs w:val="24"/>
        </w:rPr>
        <w:t xml:space="preserve">, </w:t>
      </w:r>
      <w:r w:rsidR="00D35400" w:rsidRPr="00111294">
        <w:rPr>
          <w:rFonts w:ascii="Bookman Old Style" w:hAnsi="Bookman Old Style"/>
          <w:sz w:val="24"/>
          <w:szCs w:val="24"/>
        </w:rPr>
        <w:t xml:space="preserve">από την πλευρά της Ευρωπαϊκής Κεντρικής Τράπεζας –όπερ και ορθότερο– </w:t>
      </w:r>
      <w:r w:rsidR="000259FD" w:rsidRPr="00111294">
        <w:rPr>
          <w:rFonts w:ascii="Bookman Old Style" w:hAnsi="Bookman Old Style"/>
          <w:sz w:val="24"/>
          <w:szCs w:val="24"/>
        </w:rPr>
        <w:t xml:space="preserve">κατά τις διατάξεις του άρθρου 263 εδ. γ΄της ΣΛΕΕ, δοθέντος μάλιστα ότι, κατά τις διατάξεις του άρθρου 271 </w:t>
      </w:r>
      <w:r w:rsidR="00AE277D" w:rsidRPr="00111294">
        <w:rPr>
          <w:rFonts w:ascii="Bookman Old Style" w:hAnsi="Bookman Old Style"/>
          <w:sz w:val="24"/>
          <w:szCs w:val="24"/>
        </w:rPr>
        <w:t>περ</w:t>
      </w:r>
      <w:r w:rsidR="000259FD" w:rsidRPr="00111294">
        <w:rPr>
          <w:rFonts w:ascii="Bookman Old Style" w:hAnsi="Bookman Old Style"/>
          <w:sz w:val="24"/>
          <w:szCs w:val="24"/>
        </w:rPr>
        <w:t>. δ</w:t>
      </w:r>
      <w:r w:rsidR="00C42A7A" w:rsidRPr="00111294">
        <w:rPr>
          <w:rFonts w:ascii="Bookman Old Style" w:hAnsi="Bookman Old Style"/>
          <w:sz w:val="24"/>
          <w:szCs w:val="24"/>
        </w:rPr>
        <w:t>)</w:t>
      </w:r>
      <w:r w:rsidR="000259FD" w:rsidRPr="00111294">
        <w:rPr>
          <w:rFonts w:ascii="Bookman Old Style" w:hAnsi="Bookman Old Style"/>
          <w:sz w:val="24"/>
          <w:szCs w:val="24"/>
        </w:rPr>
        <w:t xml:space="preserve"> της ΣΛΕΕ, το ΔΕΕ είναι αρμόδιο, μεταξύ άλλων, και επί διαφορών που αφορούν «</w:t>
      </w:r>
      <w:r w:rsidR="000259FD" w:rsidRPr="00111294">
        <w:rPr>
          <w:rFonts w:ascii="Bookman Old Style" w:hAnsi="Bookman Old Style"/>
          <w:i/>
          <w:sz w:val="24"/>
          <w:szCs w:val="24"/>
        </w:rPr>
        <w:t>την εκτέλεση εκ μέρους των Εθνικών Κεντρικών Τραπεζών των υποχρεώσεων που απορρέουν από Συνθήκες και το καταστατικό του ΕΣΚΤ και της ΕΚΤ…. Αν το Δικαστήριο διαπιστώσει ότι Εθνική Κεντρική Τράπεζα έχει παραβεί υποχρέωσή της εκ των Συνθηκών, η Τράπεζα αυτή οφείλει να λάβει τα μέτρα που συνεπάγεται η εκτέλεση της απόφασης του Δικαστηρίου</w:t>
      </w:r>
      <w:r w:rsidR="000259FD" w:rsidRPr="00111294">
        <w:rPr>
          <w:rFonts w:ascii="Bookman Old Style" w:hAnsi="Bookman Old Style"/>
          <w:sz w:val="24"/>
          <w:szCs w:val="24"/>
        </w:rPr>
        <w:t>»</w:t>
      </w:r>
      <w:r w:rsidR="00AE277D" w:rsidRPr="00111294">
        <w:rPr>
          <w:rFonts w:ascii="Bookman Old Style" w:hAnsi="Bookman Old Style"/>
          <w:sz w:val="24"/>
          <w:szCs w:val="24"/>
        </w:rPr>
        <w:t>.</w:t>
      </w:r>
      <w:r w:rsidR="000259FD" w:rsidRPr="00111294">
        <w:rPr>
          <w:rFonts w:ascii="Bookman Old Style" w:hAnsi="Bookman Old Style"/>
          <w:sz w:val="24"/>
          <w:szCs w:val="24"/>
        </w:rPr>
        <w:t xml:space="preserve"> </w:t>
      </w:r>
      <w:r w:rsidR="00CF2245" w:rsidRPr="00111294">
        <w:rPr>
          <w:rFonts w:ascii="Bookman Old Style" w:hAnsi="Bookman Old Style"/>
          <w:sz w:val="24"/>
          <w:szCs w:val="24"/>
        </w:rPr>
        <w:t xml:space="preserve">Είτε κατά της Ομοσπονδιακής Δημοκρατίας της Γερμανίας, από την πλευρά της Ευρωπαϊκής Επιτροπής, </w:t>
      </w:r>
      <w:r w:rsidR="000259FD" w:rsidRPr="00111294">
        <w:rPr>
          <w:rFonts w:ascii="Bookman Old Style" w:hAnsi="Bookman Old Style"/>
          <w:sz w:val="24"/>
          <w:szCs w:val="24"/>
        </w:rPr>
        <w:t>κατά τις διατάξεις του άρθρου 263 εδ. β΄της ΣΛΕ</w:t>
      </w:r>
      <w:r w:rsidR="00AE277D" w:rsidRPr="00111294">
        <w:rPr>
          <w:rFonts w:ascii="Bookman Old Style" w:hAnsi="Bookman Old Style"/>
          <w:sz w:val="24"/>
          <w:szCs w:val="24"/>
        </w:rPr>
        <w:t>Ε</w:t>
      </w:r>
      <w:r w:rsidR="000259FD" w:rsidRPr="00111294">
        <w:rPr>
          <w:rFonts w:ascii="Bookman Old Style" w:hAnsi="Bookman Old Style"/>
          <w:sz w:val="24"/>
          <w:szCs w:val="24"/>
        </w:rPr>
        <w:t xml:space="preserve">. </w:t>
      </w:r>
      <w:r w:rsidR="00D35400" w:rsidRPr="00111294">
        <w:rPr>
          <w:rFonts w:ascii="Bookman Old Style" w:hAnsi="Bookman Old Style"/>
          <w:sz w:val="24"/>
          <w:szCs w:val="24"/>
        </w:rPr>
        <w:t xml:space="preserve">  Έτσι, το θέμα των ευθυνών της </w:t>
      </w:r>
      <w:r w:rsidR="000259FD" w:rsidRPr="00111294">
        <w:rPr>
          <w:rFonts w:ascii="Bookman Old Style" w:hAnsi="Bookman Old Style"/>
          <w:sz w:val="24"/>
          <w:szCs w:val="24"/>
        </w:rPr>
        <w:t xml:space="preserve">Ομοσπονδιακής Δημοκρατίας της </w:t>
      </w:r>
      <w:r w:rsidR="00D35400" w:rsidRPr="00111294">
        <w:rPr>
          <w:rFonts w:ascii="Bookman Old Style" w:hAnsi="Bookman Old Style"/>
          <w:sz w:val="24"/>
          <w:szCs w:val="24"/>
        </w:rPr>
        <w:t xml:space="preserve">Γερμανίας </w:t>
      </w:r>
      <w:r w:rsidR="00CF2245" w:rsidRPr="00111294">
        <w:rPr>
          <w:rFonts w:ascii="Bookman Old Style" w:hAnsi="Bookman Old Style"/>
          <w:sz w:val="24"/>
          <w:szCs w:val="24"/>
        </w:rPr>
        <w:t xml:space="preserve">και της </w:t>
      </w:r>
      <w:r w:rsidR="00CF2245" w:rsidRPr="00111294">
        <w:rPr>
          <w:rFonts w:ascii="Bookman Old Style" w:hAnsi="Bookman Old Style"/>
          <w:sz w:val="24"/>
          <w:szCs w:val="24"/>
          <w:lang w:val="en-US"/>
        </w:rPr>
        <w:lastRenderedPageBreak/>
        <w:t>Bundesbank</w:t>
      </w:r>
      <w:r w:rsidR="00CF2245" w:rsidRPr="00111294">
        <w:rPr>
          <w:rFonts w:ascii="Bookman Old Style" w:hAnsi="Bookman Old Style"/>
          <w:sz w:val="24"/>
          <w:szCs w:val="24"/>
        </w:rPr>
        <w:t xml:space="preserve"> </w:t>
      </w:r>
      <w:r w:rsidR="00D35400" w:rsidRPr="00111294">
        <w:rPr>
          <w:rFonts w:ascii="Bookman Old Style" w:hAnsi="Bookman Old Style"/>
          <w:sz w:val="24"/>
          <w:szCs w:val="24"/>
        </w:rPr>
        <w:t xml:space="preserve">αποσυνδέεται από την «προστασία» του Ομοσπονδιακού Συνταγματικού Δικαστηρίου της Γερμανίας, το οποίο δεν έχει δυνατότητα εμπλοκής στην προκείμενη διαδικασία.  Η </w:t>
      </w:r>
      <w:r w:rsidR="000259FD" w:rsidRPr="00111294">
        <w:rPr>
          <w:rFonts w:ascii="Bookman Old Style" w:hAnsi="Bookman Old Style"/>
          <w:sz w:val="24"/>
          <w:szCs w:val="24"/>
        </w:rPr>
        <w:t xml:space="preserve">Ομοσπονδιακή Δημοκρατία της </w:t>
      </w:r>
      <w:r w:rsidR="00D35400" w:rsidRPr="00111294">
        <w:rPr>
          <w:rFonts w:ascii="Bookman Old Style" w:hAnsi="Bookman Old Style"/>
          <w:sz w:val="24"/>
          <w:szCs w:val="24"/>
        </w:rPr>
        <w:t>Γερμανία</w:t>
      </w:r>
      <w:r w:rsidR="000259FD" w:rsidRPr="00111294">
        <w:rPr>
          <w:rFonts w:ascii="Bookman Old Style" w:hAnsi="Bookman Old Style"/>
          <w:sz w:val="24"/>
          <w:szCs w:val="24"/>
        </w:rPr>
        <w:t xml:space="preserve">ς και η </w:t>
      </w:r>
      <w:r w:rsidR="000259FD" w:rsidRPr="00111294">
        <w:rPr>
          <w:rFonts w:ascii="Bookman Old Style" w:hAnsi="Bookman Old Style"/>
          <w:sz w:val="24"/>
          <w:szCs w:val="24"/>
          <w:lang w:val="en-US"/>
        </w:rPr>
        <w:t>Bu</w:t>
      </w:r>
      <w:r w:rsidR="00255FEE" w:rsidRPr="00111294">
        <w:rPr>
          <w:rFonts w:ascii="Bookman Old Style" w:hAnsi="Bookman Old Style"/>
          <w:sz w:val="24"/>
          <w:szCs w:val="24"/>
          <w:lang w:val="en-US"/>
        </w:rPr>
        <w:t>n</w:t>
      </w:r>
      <w:r w:rsidR="000259FD" w:rsidRPr="00111294">
        <w:rPr>
          <w:rFonts w:ascii="Bookman Old Style" w:hAnsi="Bookman Old Style"/>
          <w:sz w:val="24"/>
          <w:szCs w:val="24"/>
          <w:lang w:val="en-US"/>
        </w:rPr>
        <w:t>desbank</w:t>
      </w:r>
      <w:r w:rsidR="00D35400" w:rsidRPr="00111294">
        <w:rPr>
          <w:rFonts w:ascii="Bookman Old Style" w:hAnsi="Bookman Old Style"/>
          <w:sz w:val="24"/>
          <w:szCs w:val="24"/>
        </w:rPr>
        <w:t xml:space="preserve"> θα βρεθ</w:t>
      </w:r>
      <w:r w:rsidR="008C470C" w:rsidRPr="00111294">
        <w:rPr>
          <w:rFonts w:ascii="Bookman Old Style" w:hAnsi="Bookman Old Style"/>
          <w:sz w:val="24"/>
          <w:szCs w:val="24"/>
        </w:rPr>
        <w:t>ούν</w:t>
      </w:r>
      <w:r w:rsidR="00D35400" w:rsidRPr="00111294">
        <w:rPr>
          <w:rFonts w:ascii="Bookman Old Style" w:hAnsi="Bookman Old Style"/>
          <w:sz w:val="24"/>
          <w:szCs w:val="24"/>
        </w:rPr>
        <w:t xml:space="preserve">, με μαθηματική ακρίβεια, μπροστά στο δεδικασμένο της απόφασης του </w:t>
      </w:r>
      <w:r w:rsidR="00AE277D" w:rsidRPr="00111294">
        <w:rPr>
          <w:rFonts w:ascii="Bookman Old Style" w:hAnsi="Bookman Old Style"/>
          <w:sz w:val="24"/>
          <w:szCs w:val="24"/>
        </w:rPr>
        <w:t>ΔΕΕ</w:t>
      </w:r>
      <w:r w:rsidR="00D35400" w:rsidRPr="00111294">
        <w:rPr>
          <w:rFonts w:ascii="Bookman Old Style" w:hAnsi="Bookman Old Style"/>
          <w:sz w:val="24"/>
          <w:szCs w:val="24"/>
        </w:rPr>
        <w:t>, οπότε κάθε άρνησή τ</w:t>
      </w:r>
      <w:r w:rsidR="008C470C" w:rsidRPr="00111294">
        <w:rPr>
          <w:rFonts w:ascii="Bookman Old Style" w:hAnsi="Bookman Old Style"/>
          <w:sz w:val="24"/>
          <w:szCs w:val="24"/>
        </w:rPr>
        <w:t>ου</w:t>
      </w:r>
      <w:r w:rsidR="00D35400" w:rsidRPr="00111294">
        <w:rPr>
          <w:rFonts w:ascii="Bookman Old Style" w:hAnsi="Bookman Old Style"/>
          <w:sz w:val="24"/>
          <w:szCs w:val="24"/>
        </w:rPr>
        <w:t>ς να το σεβασθ</w:t>
      </w:r>
      <w:r w:rsidR="008C470C" w:rsidRPr="00111294">
        <w:rPr>
          <w:rFonts w:ascii="Bookman Old Style" w:hAnsi="Bookman Old Style"/>
          <w:sz w:val="24"/>
          <w:szCs w:val="24"/>
        </w:rPr>
        <w:t>ούν</w:t>
      </w:r>
      <w:r w:rsidR="00D35400" w:rsidRPr="00111294">
        <w:rPr>
          <w:rFonts w:ascii="Bookman Old Style" w:hAnsi="Bookman Old Style"/>
          <w:sz w:val="24"/>
          <w:szCs w:val="24"/>
        </w:rPr>
        <w:t xml:space="preserve"> συνιστά ευθεία παραβίαση των κατά το </w:t>
      </w:r>
      <w:r w:rsidR="008C470C" w:rsidRPr="00111294">
        <w:rPr>
          <w:rFonts w:ascii="Bookman Old Style" w:hAnsi="Bookman Old Style"/>
          <w:sz w:val="24"/>
          <w:szCs w:val="24"/>
        </w:rPr>
        <w:t>Ε</w:t>
      </w:r>
      <w:r w:rsidR="00D35400" w:rsidRPr="00111294">
        <w:rPr>
          <w:rFonts w:ascii="Bookman Old Style" w:hAnsi="Bookman Old Style"/>
          <w:sz w:val="24"/>
          <w:szCs w:val="24"/>
        </w:rPr>
        <w:t xml:space="preserve">υρωπαϊκό </w:t>
      </w:r>
      <w:r w:rsidR="008C470C" w:rsidRPr="00111294">
        <w:rPr>
          <w:rFonts w:ascii="Bookman Old Style" w:hAnsi="Bookman Old Style"/>
          <w:sz w:val="24"/>
          <w:szCs w:val="24"/>
        </w:rPr>
        <w:t>Δ</w:t>
      </w:r>
      <w:r w:rsidR="00D35400" w:rsidRPr="00111294">
        <w:rPr>
          <w:rFonts w:ascii="Bookman Old Style" w:hAnsi="Bookman Old Style"/>
          <w:sz w:val="24"/>
          <w:szCs w:val="24"/>
        </w:rPr>
        <w:t>ίκαιο, γενικώς, υποχρεώσεών τ</w:t>
      </w:r>
      <w:r w:rsidR="00AE277D" w:rsidRPr="00111294">
        <w:rPr>
          <w:rFonts w:ascii="Bookman Old Style" w:hAnsi="Bookman Old Style"/>
          <w:sz w:val="24"/>
          <w:szCs w:val="24"/>
        </w:rPr>
        <w:t>ου</w:t>
      </w:r>
      <w:r w:rsidR="00D35400" w:rsidRPr="00111294">
        <w:rPr>
          <w:rFonts w:ascii="Bookman Old Style" w:hAnsi="Bookman Old Style"/>
          <w:sz w:val="24"/>
          <w:szCs w:val="24"/>
        </w:rPr>
        <w:t>ς, και όχι μόνο των υποχρεώσεών τ</w:t>
      </w:r>
      <w:r w:rsidR="00AE277D" w:rsidRPr="00111294">
        <w:rPr>
          <w:rFonts w:ascii="Bookman Old Style" w:hAnsi="Bookman Old Style"/>
          <w:sz w:val="24"/>
          <w:szCs w:val="24"/>
        </w:rPr>
        <w:t>ου</w:t>
      </w:r>
      <w:r w:rsidR="00D35400" w:rsidRPr="00111294">
        <w:rPr>
          <w:rFonts w:ascii="Bookman Old Style" w:hAnsi="Bookman Old Style"/>
          <w:sz w:val="24"/>
          <w:szCs w:val="24"/>
        </w:rPr>
        <w:t xml:space="preserve">ς από το πρόγραμμα </w:t>
      </w:r>
      <w:r w:rsidR="00D35400" w:rsidRPr="00111294">
        <w:rPr>
          <w:rFonts w:ascii="Bookman Old Style" w:hAnsi="Bookman Old Style"/>
          <w:sz w:val="24"/>
          <w:szCs w:val="24"/>
          <w:lang w:val="en-US"/>
        </w:rPr>
        <w:t>PSPP</w:t>
      </w:r>
      <w:r w:rsidR="00D35400" w:rsidRPr="00111294">
        <w:rPr>
          <w:rFonts w:ascii="Bookman Old Style" w:hAnsi="Bookman Old Style"/>
          <w:sz w:val="24"/>
          <w:szCs w:val="24"/>
        </w:rPr>
        <w:t xml:space="preserve">.  </w:t>
      </w:r>
    </w:p>
    <w:p w:rsidR="00D35400" w:rsidRDefault="008C470C" w:rsidP="00303AFA">
      <w:pPr>
        <w:pStyle w:val="a3"/>
        <w:spacing w:before="100" w:beforeAutospacing="1" w:after="100" w:afterAutospacing="1" w:line="360" w:lineRule="auto"/>
        <w:ind w:left="0"/>
        <w:contextualSpacing w:val="0"/>
        <w:jc w:val="center"/>
        <w:rPr>
          <w:rFonts w:ascii="Bookman Old Style" w:hAnsi="Bookman Old Style"/>
          <w:b/>
          <w:sz w:val="24"/>
          <w:szCs w:val="24"/>
        </w:rPr>
      </w:pPr>
      <w:r>
        <w:rPr>
          <w:rFonts w:ascii="Bookman Old Style" w:hAnsi="Bookman Old Style"/>
          <w:b/>
          <w:sz w:val="24"/>
          <w:szCs w:val="24"/>
        </w:rPr>
        <w:t>Επίλογος</w:t>
      </w:r>
    </w:p>
    <w:p w:rsidR="008C470C" w:rsidRDefault="008C470C" w:rsidP="00303AFA">
      <w:pPr>
        <w:pStyle w:val="a3"/>
        <w:spacing w:before="100" w:beforeAutospacing="1" w:after="100" w:afterAutospacing="1" w:line="360" w:lineRule="auto"/>
        <w:ind w:left="0"/>
        <w:contextualSpacing w:val="0"/>
        <w:jc w:val="both"/>
        <w:rPr>
          <w:rFonts w:ascii="Bookman Old Style" w:hAnsi="Bookman Old Style"/>
          <w:sz w:val="24"/>
          <w:szCs w:val="24"/>
        </w:rPr>
      </w:pPr>
      <w:r>
        <w:rPr>
          <w:rFonts w:ascii="Bookman Old Style" w:hAnsi="Bookman Old Style"/>
          <w:sz w:val="24"/>
          <w:szCs w:val="24"/>
        </w:rPr>
        <w:t>Μια αντικειμενική θεώρηση των θεσμικών και πολιτικών επιπτώσεων της νομολογίας «</w:t>
      </w:r>
      <w:r>
        <w:rPr>
          <w:rFonts w:ascii="Bookman Old Style" w:hAnsi="Bookman Old Style"/>
          <w:sz w:val="24"/>
          <w:szCs w:val="24"/>
          <w:lang w:val="en-US"/>
        </w:rPr>
        <w:t>Gauweiler</w:t>
      </w:r>
      <w:r>
        <w:rPr>
          <w:rFonts w:ascii="Bookman Old Style" w:hAnsi="Bookman Old Style"/>
          <w:sz w:val="24"/>
          <w:szCs w:val="24"/>
        </w:rPr>
        <w:t>» και «</w:t>
      </w:r>
      <w:r>
        <w:rPr>
          <w:rFonts w:ascii="Bookman Old Style" w:hAnsi="Bookman Old Style"/>
          <w:sz w:val="24"/>
          <w:szCs w:val="24"/>
          <w:lang w:val="en-US"/>
        </w:rPr>
        <w:t>Weiss</w:t>
      </w:r>
      <w:r>
        <w:rPr>
          <w:rFonts w:ascii="Bookman Old Style" w:hAnsi="Bookman Old Style"/>
          <w:sz w:val="24"/>
          <w:szCs w:val="24"/>
        </w:rPr>
        <w:t>» -και της αντίστοιχης νομολογιακής διαδρομής από το 2016 ως το 2020- του Ομοσπονδιακού Συνταγματικού Δικαστηρίου της Γερμανίας</w:t>
      </w:r>
      <w:r w:rsidR="00AE277D">
        <w:rPr>
          <w:rFonts w:ascii="Bookman Old Style" w:hAnsi="Bookman Old Style"/>
          <w:sz w:val="24"/>
          <w:szCs w:val="24"/>
        </w:rPr>
        <w:t>,</w:t>
      </w:r>
      <w:r>
        <w:rPr>
          <w:rFonts w:ascii="Bookman Old Style" w:hAnsi="Bookman Old Style"/>
          <w:sz w:val="24"/>
          <w:szCs w:val="24"/>
        </w:rPr>
        <w:t xml:space="preserve"> οδηγεί στο γενικότερο συμπέρασμα ότι </w:t>
      </w:r>
      <w:r w:rsidR="00AE277D">
        <w:rPr>
          <w:rFonts w:ascii="Bookman Old Style" w:hAnsi="Bookman Old Style"/>
          <w:sz w:val="24"/>
          <w:szCs w:val="24"/>
        </w:rPr>
        <w:t xml:space="preserve">η ως άνω νομολογία </w:t>
      </w:r>
      <w:r>
        <w:rPr>
          <w:rFonts w:ascii="Bookman Old Style" w:hAnsi="Bookman Old Style"/>
          <w:sz w:val="24"/>
          <w:szCs w:val="24"/>
        </w:rPr>
        <w:t>συνιστά ένα ακόμη, άκρως αρνητικό, σύμπτωμα της κρίσης που αντιμετωπίζει σήμερα η Ευρωπαϊκή Ένωση και, ειδικότερα</w:t>
      </w:r>
      <w:r w:rsidR="00AE277D">
        <w:rPr>
          <w:rFonts w:ascii="Bookman Old Style" w:hAnsi="Bookman Old Style"/>
          <w:sz w:val="24"/>
          <w:szCs w:val="24"/>
        </w:rPr>
        <w:t>,</w:t>
      </w:r>
      <w:r>
        <w:rPr>
          <w:rFonts w:ascii="Bookman Old Style" w:hAnsi="Bookman Old Style"/>
          <w:sz w:val="24"/>
          <w:szCs w:val="24"/>
        </w:rPr>
        <w:t xml:space="preserve"> η πορεία της Ευρωπαϊκής Ενοποίησης και της ενίσχυσης του όλου Ευρωπαϊκού Οικοδομήματος.  Και τούτο διότι, κατ’ ουσίαν και κατ’ αποτέλεσμα, η νομολογιακή γραμμή του Δικαστηρίου της Καρλσρούης υπονομεύει την</w:t>
      </w:r>
      <w:r w:rsidR="00AE277D">
        <w:rPr>
          <w:rFonts w:ascii="Bookman Old Style" w:hAnsi="Bookman Old Style"/>
          <w:sz w:val="24"/>
          <w:szCs w:val="24"/>
        </w:rPr>
        <w:t>,</w:t>
      </w:r>
      <w:r>
        <w:rPr>
          <w:rFonts w:ascii="Bookman Old Style" w:hAnsi="Bookman Old Style"/>
          <w:sz w:val="24"/>
          <w:szCs w:val="24"/>
        </w:rPr>
        <w:t xml:space="preserve"> ήδη εύθραυστη</w:t>
      </w:r>
      <w:r w:rsidR="00AE277D">
        <w:rPr>
          <w:rFonts w:ascii="Bookman Old Style" w:hAnsi="Bookman Old Style"/>
          <w:sz w:val="24"/>
          <w:szCs w:val="24"/>
        </w:rPr>
        <w:t>,</w:t>
      </w:r>
      <w:r>
        <w:rPr>
          <w:rFonts w:ascii="Bookman Old Style" w:hAnsi="Bookman Old Style"/>
          <w:sz w:val="24"/>
          <w:szCs w:val="24"/>
        </w:rPr>
        <w:t xml:space="preserve"> ισορροπία της ενότητας και της ασφάλειας δικαίου στο πλαίσιο της Ευρωπαϊκής Έννομης Τάξης. </w:t>
      </w:r>
    </w:p>
    <w:p w:rsidR="00AE277D" w:rsidRDefault="008C470C" w:rsidP="00303AFA">
      <w:pPr>
        <w:pStyle w:val="a3"/>
        <w:spacing w:before="100" w:beforeAutospacing="1" w:after="100" w:afterAutospacing="1" w:line="360" w:lineRule="auto"/>
        <w:ind w:left="284" w:hanging="284"/>
        <w:contextualSpacing w:val="0"/>
        <w:jc w:val="both"/>
        <w:rPr>
          <w:rFonts w:ascii="Bookman Old Style" w:hAnsi="Bookman Old Style"/>
          <w:sz w:val="24"/>
          <w:szCs w:val="24"/>
        </w:rPr>
      </w:pPr>
      <w:r>
        <w:rPr>
          <w:rFonts w:ascii="Bookman Old Style" w:hAnsi="Bookman Old Style"/>
          <w:b/>
          <w:sz w:val="24"/>
          <w:szCs w:val="24"/>
        </w:rPr>
        <w:t xml:space="preserve">Α. </w:t>
      </w:r>
      <w:r>
        <w:rPr>
          <w:rFonts w:ascii="Bookman Old Style" w:hAnsi="Bookman Old Style"/>
          <w:sz w:val="24"/>
          <w:szCs w:val="24"/>
        </w:rPr>
        <w:t>Για να «διαβεί τον Ρουβίκωνα» νομολογιακώς και να στραφεί κατά του Λουξεμβούργου -βλέπε ΔΕΕ- το Ομοσπονδιακό Συνταγματικό Δικαστήριο της Γερμανίας δεν φαίνεται να συνάντησε, δυστυχώς, μεγάλες αντιστάσεις.  Ιδίως δε από την μια πλευρά, το θεσμικό κενό της έλλειψης ενός και τυπικώς καταστρωμένου Ευρωπαϊκού Συντάγματος</w:t>
      </w:r>
      <w:r w:rsidR="00590EDF" w:rsidRPr="00590EDF">
        <w:rPr>
          <w:rFonts w:ascii="Bookman Old Style" w:hAnsi="Bookman Old Style"/>
          <w:sz w:val="24"/>
          <w:szCs w:val="24"/>
        </w:rPr>
        <w:t xml:space="preserve"> </w:t>
      </w:r>
      <w:r w:rsidR="00590EDF">
        <w:rPr>
          <w:rFonts w:ascii="Bookman Old Style" w:hAnsi="Bookman Old Style"/>
          <w:sz w:val="24"/>
          <w:szCs w:val="24"/>
        </w:rPr>
        <w:t xml:space="preserve">του επέτρεψε </w:t>
      </w:r>
      <w:r w:rsidR="00180377">
        <w:rPr>
          <w:rFonts w:ascii="Bookman Old Style" w:hAnsi="Bookman Old Style"/>
          <w:sz w:val="24"/>
          <w:szCs w:val="24"/>
        </w:rPr>
        <w:t xml:space="preserve">να θέσει ως «λυδία λίθο» της άσκησης της δικαιοδοσίας του το Σύνταγμα της Ομοσπονδιακής Δημοκρατίας της Γερμανίας, ως το σημείο μάλιστα της περιθωριοποίησης της δεσμευτικότητας των αποφάσεων του ΔΕΕ, μέσω της υποκατάστασής του κατά την ερμηνεία του Ευρωπαϊκού Δικαίου.  Και, από την άλλη πλευρά, η ανεκτική και </w:t>
      </w:r>
      <w:r w:rsidR="00180377">
        <w:rPr>
          <w:rFonts w:ascii="Bookman Old Style" w:hAnsi="Bookman Old Style"/>
          <w:sz w:val="24"/>
          <w:szCs w:val="24"/>
        </w:rPr>
        <w:lastRenderedPageBreak/>
        <w:t xml:space="preserve">υποχωρητική </w:t>
      </w:r>
      <w:r w:rsidR="00AE277D">
        <w:rPr>
          <w:rFonts w:ascii="Bookman Old Style" w:hAnsi="Bookman Old Style"/>
          <w:sz w:val="24"/>
          <w:szCs w:val="24"/>
        </w:rPr>
        <w:t>σ</w:t>
      </w:r>
      <w:r w:rsidR="00180377">
        <w:rPr>
          <w:rFonts w:ascii="Bookman Old Style" w:hAnsi="Bookman Old Style"/>
          <w:sz w:val="24"/>
          <w:szCs w:val="24"/>
        </w:rPr>
        <w:t xml:space="preserve">τάση του ΔΕΕ το οδήγησε στο καίριο λάθος της μη απόρριψης, ως απαραδέκτων καθ’ ό αντιθέτων προς τις προϋποθέσεις που θέτουν σαφώς οι διατάξεις του άρθρου 267 της ΣΛΕΕ, των διαδοχικών προδικαστικών ερωτημάτων του Ομοσπονδιακού Συνταγματικού Δικαστηρίου της Γερμανίας.  </w:t>
      </w:r>
    </w:p>
    <w:p w:rsidR="008C470C" w:rsidRPr="00180377" w:rsidRDefault="00AE277D" w:rsidP="00303AFA">
      <w:pPr>
        <w:pStyle w:val="a3"/>
        <w:spacing w:before="100" w:beforeAutospacing="1" w:after="100" w:afterAutospacing="1" w:line="360" w:lineRule="auto"/>
        <w:ind w:left="284" w:hanging="284"/>
        <w:contextualSpacing w:val="0"/>
        <w:jc w:val="both"/>
        <w:rPr>
          <w:rFonts w:ascii="Bookman Old Style" w:hAnsi="Bookman Old Style"/>
          <w:sz w:val="24"/>
          <w:szCs w:val="24"/>
        </w:rPr>
      </w:pPr>
      <w:r>
        <w:rPr>
          <w:rFonts w:ascii="Bookman Old Style" w:hAnsi="Bookman Old Style"/>
          <w:b/>
          <w:sz w:val="24"/>
          <w:szCs w:val="24"/>
        </w:rPr>
        <w:t>Β.</w:t>
      </w:r>
      <w:r>
        <w:rPr>
          <w:rFonts w:ascii="Bookman Old Style" w:hAnsi="Bookman Old Style"/>
          <w:sz w:val="24"/>
          <w:szCs w:val="24"/>
        </w:rPr>
        <w:t xml:space="preserve"> </w:t>
      </w:r>
      <w:r w:rsidR="00180377">
        <w:rPr>
          <w:rFonts w:ascii="Bookman Old Style" w:hAnsi="Bookman Old Style"/>
          <w:sz w:val="24"/>
          <w:szCs w:val="24"/>
        </w:rPr>
        <w:t xml:space="preserve">Ως προς τον </w:t>
      </w:r>
      <w:r>
        <w:rPr>
          <w:rFonts w:ascii="Bookman Old Style" w:hAnsi="Bookman Old Style"/>
          <w:sz w:val="24"/>
          <w:szCs w:val="24"/>
        </w:rPr>
        <w:t>πραγματικό</w:t>
      </w:r>
      <w:r w:rsidR="00180377">
        <w:rPr>
          <w:rFonts w:ascii="Bookman Old Style" w:hAnsi="Bookman Old Style"/>
          <w:sz w:val="24"/>
          <w:szCs w:val="24"/>
        </w:rPr>
        <w:t xml:space="preserve"> πολιτικό στόχο, τον οποίο τάχθηκε να υπηρετήσει, έστω και αφανώς, η ως άνω νομολογία του Δικαστηρίου της Καρλσρούης δεν πρέπει να υπάρχουν αυταπάτες, όσο και αν η συνταγματική «λεοντή» ήταν προϊόν λεπτής νομικής επινόησης</w:t>
      </w:r>
      <w:r>
        <w:rPr>
          <w:rFonts w:ascii="Bookman Old Style" w:hAnsi="Bookman Old Style"/>
          <w:sz w:val="24"/>
          <w:szCs w:val="24"/>
        </w:rPr>
        <w:t xml:space="preserve"> και κατασκευής.</w:t>
      </w:r>
      <w:r w:rsidR="00180377">
        <w:rPr>
          <w:rFonts w:ascii="Bookman Old Style" w:hAnsi="Bookman Old Style"/>
          <w:sz w:val="24"/>
          <w:szCs w:val="24"/>
        </w:rPr>
        <w:t xml:space="preserve">  Το Ομοσπονδιακό Συνταγματικό Δικαστήριο της Γερμανίας στοιχήθηκε πλήρως πίσω από εκείνη την γερμανική πολιτική, η οποία, στο πεδίο της λιτότητας που έχει υιοθετήσει κυρίως για τα λοιπά Κράτη-Μέλη της Ευρωζώνης, «απεχθάνεται» τα προγράμματα ρευστότητας -όπως το ΟΜΤ και το </w:t>
      </w:r>
      <w:r w:rsidR="00180377">
        <w:rPr>
          <w:rFonts w:ascii="Bookman Old Style" w:hAnsi="Bookman Old Style"/>
          <w:sz w:val="24"/>
          <w:szCs w:val="24"/>
          <w:lang w:val="en-US"/>
        </w:rPr>
        <w:t>PSPP</w:t>
      </w:r>
      <w:r w:rsidR="00180377" w:rsidRPr="00180377">
        <w:rPr>
          <w:rFonts w:ascii="Bookman Old Style" w:hAnsi="Bookman Old Style"/>
          <w:sz w:val="24"/>
          <w:szCs w:val="24"/>
        </w:rPr>
        <w:t xml:space="preserve">- </w:t>
      </w:r>
      <w:r w:rsidR="00180377">
        <w:rPr>
          <w:rFonts w:ascii="Bookman Old Style" w:hAnsi="Bookman Old Style"/>
          <w:sz w:val="24"/>
          <w:szCs w:val="24"/>
        </w:rPr>
        <w:t>και επιχειρεί να τα περιορίσει στο ελάχιστο δυνατό.  Αυτό οφείλεται, φυσικά μεταξύ άλλων, και στο ότι ίσως να θεωρεί τα προγράμματα αυτά μακρινό «προάγγελο» θεσμοθέτηση</w:t>
      </w:r>
      <w:r>
        <w:rPr>
          <w:rFonts w:ascii="Bookman Old Style" w:hAnsi="Bookman Old Style"/>
          <w:sz w:val="24"/>
          <w:szCs w:val="24"/>
        </w:rPr>
        <w:t>ς</w:t>
      </w:r>
      <w:r w:rsidR="00180377">
        <w:rPr>
          <w:rFonts w:ascii="Bookman Old Style" w:hAnsi="Bookman Old Style"/>
          <w:sz w:val="24"/>
          <w:szCs w:val="24"/>
        </w:rPr>
        <w:t xml:space="preserve"> ενός είδους ευρωομολόγου</w:t>
      </w:r>
      <w:r w:rsidR="00CF0652">
        <w:rPr>
          <w:rFonts w:ascii="Bookman Old Style" w:hAnsi="Bookman Old Style"/>
          <w:sz w:val="24"/>
          <w:szCs w:val="24"/>
        </w:rPr>
        <w:t xml:space="preserve"> -κάτι το οποίο βεβαίως προϋποθέτει τροποποίηση των Συνθηκών-</w:t>
      </w:r>
      <w:r w:rsidR="00180377">
        <w:rPr>
          <w:rFonts w:ascii="Bookman Old Style" w:hAnsi="Bookman Old Style"/>
          <w:sz w:val="24"/>
          <w:szCs w:val="24"/>
        </w:rPr>
        <w:t xml:space="preserve"> </w:t>
      </w:r>
      <w:r w:rsidR="00CF0652">
        <w:rPr>
          <w:rFonts w:ascii="Bookman Old Style" w:hAnsi="Bookman Old Style"/>
          <w:sz w:val="24"/>
          <w:szCs w:val="24"/>
        </w:rPr>
        <w:t>προοπτική που</w:t>
      </w:r>
      <w:r w:rsidR="00180377">
        <w:rPr>
          <w:rFonts w:ascii="Bookman Old Style" w:hAnsi="Bookman Old Style"/>
          <w:sz w:val="24"/>
          <w:szCs w:val="24"/>
        </w:rPr>
        <w:t xml:space="preserve"> η γερμανική πολιτική απορρίπτει παγίως και πεισμ</w:t>
      </w:r>
      <w:r w:rsidR="00255FEE">
        <w:rPr>
          <w:rFonts w:ascii="Bookman Old Style" w:hAnsi="Bookman Old Style"/>
          <w:sz w:val="24"/>
          <w:szCs w:val="24"/>
        </w:rPr>
        <w:t>ό</w:t>
      </w:r>
      <w:r w:rsidR="00180377">
        <w:rPr>
          <w:rFonts w:ascii="Bookman Old Style" w:hAnsi="Bookman Old Style"/>
          <w:sz w:val="24"/>
          <w:szCs w:val="24"/>
        </w:rPr>
        <w:t xml:space="preserve">νως. </w:t>
      </w:r>
      <w:r w:rsidR="001B32AE">
        <w:rPr>
          <w:rFonts w:ascii="Bookman Old Style" w:hAnsi="Bookman Old Style"/>
          <w:sz w:val="24"/>
          <w:szCs w:val="24"/>
        </w:rPr>
        <w:t xml:space="preserve"> Εν πάση δε περιπτώσει</w:t>
      </w:r>
      <w:r>
        <w:rPr>
          <w:rFonts w:ascii="Bookman Old Style" w:hAnsi="Bookman Old Style"/>
          <w:sz w:val="24"/>
          <w:szCs w:val="24"/>
        </w:rPr>
        <w:t>,</w:t>
      </w:r>
      <w:r w:rsidR="001B32AE">
        <w:rPr>
          <w:rFonts w:ascii="Bookman Old Style" w:hAnsi="Bookman Old Style"/>
          <w:sz w:val="24"/>
          <w:szCs w:val="24"/>
        </w:rPr>
        <w:t xml:space="preserve"> η Ομοσπονδιακή Δημοκρατία της Γερμανίας ουδέποτε θέλησε να </w:t>
      </w:r>
      <w:r>
        <w:rPr>
          <w:rFonts w:ascii="Bookman Old Style" w:hAnsi="Bookman Old Style"/>
          <w:sz w:val="24"/>
          <w:szCs w:val="24"/>
        </w:rPr>
        <w:t>συμβιβασθεί</w:t>
      </w:r>
      <w:r w:rsidR="001B32AE">
        <w:rPr>
          <w:rFonts w:ascii="Bookman Old Style" w:hAnsi="Bookman Old Style"/>
          <w:sz w:val="24"/>
          <w:szCs w:val="24"/>
        </w:rPr>
        <w:t xml:space="preserve"> με τον ολοκληρωμένο ρόλο της Ευρωπαϊκής Κεντρικής Τράπεζας, ήτοι τον ρόλο που θα την καθιστούσε μια πλήρως εξοπλισμένη και κατοχυρωμένη Κεντρική Τράπεζα</w:t>
      </w:r>
      <w:r>
        <w:rPr>
          <w:rFonts w:ascii="Bookman Old Style" w:hAnsi="Bookman Old Style"/>
          <w:sz w:val="24"/>
          <w:szCs w:val="24"/>
        </w:rPr>
        <w:t xml:space="preserve">, κατά το πρότυπο άλλων Κεντρικών Τραπεζών, σε παγκόσμιο επίπεδο. </w:t>
      </w:r>
      <w:r w:rsidR="001B32AE">
        <w:rPr>
          <w:rFonts w:ascii="Bookman Old Style" w:hAnsi="Bookman Old Style"/>
          <w:sz w:val="24"/>
          <w:szCs w:val="24"/>
        </w:rPr>
        <w:t xml:space="preserve">  Η στάση αυτή της Ομοσπονδιακής Δημοκρατίας της Γερμανίας </w:t>
      </w:r>
      <w:r>
        <w:rPr>
          <w:rFonts w:ascii="Bookman Old Style" w:hAnsi="Bookman Old Style"/>
          <w:sz w:val="24"/>
          <w:szCs w:val="24"/>
        </w:rPr>
        <w:t>εξηγείται τόσο</w:t>
      </w:r>
      <w:r w:rsidR="001B32AE">
        <w:rPr>
          <w:rFonts w:ascii="Bookman Old Style" w:hAnsi="Bookman Old Style"/>
          <w:sz w:val="24"/>
          <w:szCs w:val="24"/>
        </w:rPr>
        <w:t xml:space="preserve"> από το ότι θέλει να ελέγχει την Ευρωπαϊκή Κεντρική Τράπεζα ως προς τις αποφάσεις της, οι οποίες -όπως τα κατά τ’ ανωτέρω προγράμματα ρευστότητας- δεν συμβαδίζουν με την δική της οικονομική οπτική γωνία για την </w:t>
      </w:r>
      <w:r w:rsidR="006A7D2F">
        <w:rPr>
          <w:rFonts w:ascii="Bookman Old Style" w:hAnsi="Bookman Old Style"/>
          <w:sz w:val="24"/>
          <w:szCs w:val="24"/>
        </w:rPr>
        <w:t xml:space="preserve">προοπτική της </w:t>
      </w:r>
      <w:r w:rsidR="001B32AE">
        <w:rPr>
          <w:rFonts w:ascii="Bookman Old Style" w:hAnsi="Bookman Old Style"/>
          <w:sz w:val="24"/>
          <w:szCs w:val="24"/>
        </w:rPr>
        <w:t>Ευρωζώνη</w:t>
      </w:r>
      <w:r w:rsidR="006A7D2F">
        <w:rPr>
          <w:rFonts w:ascii="Bookman Old Style" w:hAnsi="Bookman Old Style"/>
          <w:sz w:val="24"/>
          <w:szCs w:val="24"/>
        </w:rPr>
        <w:t>ς</w:t>
      </w:r>
      <w:r w:rsidR="001B32AE">
        <w:rPr>
          <w:rFonts w:ascii="Bookman Old Style" w:hAnsi="Bookman Old Style"/>
          <w:sz w:val="24"/>
          <w:szCs w:val="24"/>
        </w:rPr>
        <w:t xml:space="preserve">.  </w:t>
      </w:r>
      <w:r w:rsidR="006A7D2F">
        <w:rPr>
          <w:rFonts w:ascii="Bookman Old Style" w:hAnsi="Bookman Old Style"/>
          <w:sz w:val="24"/>
          <w:szCs w:val="24"/>
        </w:rPr>
        <w:t>Όσο και το ότι δεν επιθυμεί τον ολοκληρωμένο έλεγχο της Ευρωπαϊκής Κεντρικής Τράπεζας σε όλο το φάσμα του Τραπεζικού Συστήματος εντός της Ευρωζώνης ή</w:t>
      </w:r>
      <w:r w:rsidR="00C42A7A">
        <w:rPr>
          <w:rFonts w:ascii="Bookman Old Style" w:hAnsi="Bookman Old Style"/>
          <w:sz w:val="24"/>
          <w:szCs w:val="24"/>
        </w:rPr>
        <w:t>,</w:t>
      </w:r>
      <w:r w:rsidR="006A7D2F">
        <w:rPr>
          <w:rFonts w:ascii="Bookman Old Style" w:hAnsi="Bookman Old Style"/>
          <w:sz w:val="24"/>
          <w:szCs w:val="24"/>
        </w:rPr>
        <w:t xml:space="preserve"> για την ακρίβεια και κατ’ ουσίαν, δεν επιθυμεί τον πλήρη έλεγχό της σε όλο το φάσμα του δικού της τραπεζικού συστήματος για λόγους που η γερμανική πλευρά καλά γνωρίζει, ενώ οι λοιποί Εταίροι στην Ευρωζώνη τους «ψιθυρίζουν» -δίχως όμως να θέτουν το μείζον τούτο ζήτημα ευθέως και «μεγαλοφώνως»- στους «διαδρόμους» των Βρυξελ</w:t>
      </w:r>
      <w:r w:rsidR="000D07D9">
        <w:rPr>
          <w:rFonts w:ascii="Bookman Old Style" w:hAnsi="Bookman Old Style"/>
          <w:sz w:val="24"/>
          <w:szCs w:val="24"/>
        </w:rPr>
        <w:t>λ</w:t>
      </w:r>
      <w:r w:rsidR="006A7D2F">
        <w:rPr>
          <w:rFonts w:ascii="Bookman Old Style" w:hAnsi="Bookman Old Style"/>
          <w:sz w:val="24"/>
          <w:szCs w:val="24"/>
        </w:rPr>
        <w:t xml:space="preserve">ών και της Φρανκφούρτης. </w:t>
      </w:r>
    </w:p>
    <w:p w:rsidR="001B32AE" w:rsidRPr="001B32AE" w:rsidRDefault="009B1E14" w:rsidP="00303AFA">
      <w:pPr>
        <w:spacing w:before="240" w:line="360" w:lineRule="auto"/>
        <w:ind w:left="284" w:hanging="284"/>
        <w:jc w:val="both"/>
        <w:rPr>
          <w:rFonts w:ascii="Bookman Old Style" w:hAnsi="Bookman Old Style"/>
          <w:sz w:val="24"/>
          <w:szCs w:val="24"/>
        </w:rPr>
      </w:pPr>
      <w:r>
        <w:rPr>
          <w:rFonts w:ascii="Bookman Old Style" w:hAnsi="Bookman Old Style"/>
          <w:b/>
          <w:sz w:val="24"/>
          <w:szCs w:val="24"/>
        </w:rPr>
        <w:t xml:space="preserve">Γ. </w:t>
      </w:r>
      <w:r w:rsidR="001B32AE">
        <w:rPr>
          <w:rFonts w:ascii="Bookman Old Style" w:hAnsi="Bookman Old Style"/>
          <w:sz w:val="24"/>
          <w:szCs w:val="24"/>
        </w:rPr>
        <w:t>Κάτω από αυτές τις συνθήκες θα ήταν ασυγχώρητο ν’ αφεθεί χωρίς άμεση απάντηση και αποφασιστική αντίδραση η νομολογιακή κατάσταση</w:t>
      </w:r>
      <w:r w:rsidR="006A7D2F">
        <w:rPr>
          <w:rFonts w:ascii="Bookman Old Style" w:hAnsi="Bookman Old Style"/>
          <w:sz w:val="24"/>
          <w:szCs w:val="24"/>
        </w:rPr>
        <w:t>,</w:t>
      </w:r>
      <w:r w:rsidR="001B32AE">
        <w:rPr>
          <w:rFonts w:ascii="Bookman Old Style" w:hAnsi="Bookman Old Style"/>
          <w:sz w:val="24"/>
          <w:szCs w:val="24"/>
        </w:rPr>
        <w:t xml:space="preserve"> που δημιούργησε το Ομοσπονδιακό Συνταγματικό Δικαστήριο της Γερμανίας στο πλαίσιο των αποφάσεων «</w:t>
      </w:r>
      <w:r w:rsidR="001B32AE">
        <w:rPr>
          <w:rFonts w:ascii="Bookman Old Style" w:hAnsi="Bookman Old Style"/>
          <w:sz w:val="24"/>
          <w:szCs w:val="24"/>
          <w:lang w:val="en-US"/>
        </w:rPr>
        <w:t>Gaumeiler</w:t>
      </w:r>
      <w:r w:rsidR="001B32AE">
        <w:rPr>
          <w:rFonts w:ascii="Bookman Old Style" w:hAnsi="Bookman Old Style"/>
          <w:sz w:val="24"/>
          <w:szCs w:val="24"/>
        </w:rPr>
        <w:t>» και «</w:t>
      </w:r>
      <w:r w:rsidR="001B32AE">
        <w:rPr>
          <w:rFonts w:ascii="Bookman Old Style" w:hAnsi="Bookman Old Style"/>
          <w:sz w:val="24"/>
          <w:szCs w:val="24"/>
          <w:lang w:val="en-US"/>
        </w:rPr>
        <w:t>Weiss</w:t>
      </w:r>
      <w:r w:rsidR="001B32AE">
        <w:rPr>
          <w:rFonts w:ascii="Bookman Old Style" w:hAnsi="Bookman Old Style"/>
          <w:sz w:val="24"/>
          <w:szCs w:val="24"/>
        </w:rPr>
        <w:t xml:space="preserve">», με την σύμπραξη -και όχι απλώς ανοχή- της Ομοσπονδιακής Δημοκρατίας της Γερμανίας.  Όπως τονίσθηκε επανειλημμένως στο πλαίσιο αυτής της ανάλυσης, μια τέτοια νομολογιακή κατάσταση πλήττει καιρίως την ενότητα και την ασφάλεια δικαίου εντός της Ευρωπαϊκής Έννομης Τάξης </w:t>
      </w:r>
      <w:r w:rsidR="006A7D2F">
        <w:rPr>
          <w:rFonts w:ascii="Bookman Old Style" w:hAnsi="Bookman Old Style"/>
          <w:sz w:val="24"/>
          <w:szCs w:val="24"/>
        </w:rPr>
        <w:t xml:space="preserve">και είναι </w:t>
      </w:r>
      <w:r w:rsidR="00B01E01">
        <w:rPr>
          <w:rFonts w:ascii="Bookman Old Style" w:hAnsi="Bookman Old Style"/>
          <w:sz w:val="24"/>
          <w:szCs w:val="24"/>
        </w:rPr>
        <w:t xml:space="preserve">ένας πρόσθετος «κακός οιωνός» στην πορεία της Ευρωπαϊκής Ενοποίησης και της Ευρωπαϊκής Ολοκλήρωσης.  Η Ευρωπαϊκή Επιτροπή και η Ευρωπαϊκή Κεντρική Τράπεζα, με τα μέσα που θεσμικώς και πολιτικώς διαθέτουν -και τα οποία δεν είναι ευκαταφρόνητα- πρέπει ν’ αρθούν στο ύψος των περιστάσεων.  Το οφείλουν στην ίδια την Ευρωπαϊκή Ένωση, της οποίας η αποστολή, κατ’ εξοχήν στους σημερινούς κρίσιμους και χαλεπούς καιρούς, υπερβαίνει τα Κράτη-Μέλη της και αφορά τον πλανητικό ρόλο που της αναλογεί, αναφορικά με την υπεράσπιση του Ανθρώπου και των Θεμελιωδών Δικαιωμάτων του, υπό καθεστώς Δημοκρατίας, Δικαιοσύνης, κυρίως δε Κοινωνικής Δικαιοσύνης. </w:t>
      </w:r>
    </w:p>
    <w:sectPr w:rsidR="001B32AE" w:rsidRPr="001B32AE" w:rsidSect="00797548">
      <w:footerReference w:type="default" r:id="rId9"/>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EC6" w:rsidRDefault="00732EC6" w:rsidP="007B0410">
      <w:pPr>
        <w:spacing w:after="0" w:line="240" w:lineRule="auto"/>
      </w:pPr>
      <w:r>
        <w:separator/>
      </w:r>
    </w:p>
  </w:endnote>
  <w:endnote w:type="continuationSeparator" w:id="0">
    <w:p w:rsidR="00732EC6" w:rsidRDefault="00732EC6" w:rsidP="007B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imesNewRomanPSMT">
    <w:altName w:val="Calibri"/>
    <w:panose1 w:val="00000000000000000000"/>
    <w:charset w:val="A1"/>
    <w:family w:val="auto"/>
    <w:notTrueType/>
    <w:pitch w:val="default"/>
    <w:sig w:usb0="00000083" w:usb1="00000000" w:usb2="00000000" w:usb3="00000000" w:csb0="00000009" w:csb1="00000000"/>
  </w:font>
  <w:font w:name="TimesNewRomanPS-ItalicMT">
    <w:altName w:val="Calibri"/>
    <w:panose1 w:val="00000000000000000000"/>
    <w:charset w:val="A1"/>
    <w:family w:val="auto"/>
    <w:notTrueType/>
    <w:pitch w:val="default"/>
    <w:sig w:usb0="00000083" w:usb1="00000000" w:usb2="00000000" w:usb3="00000000" w:csb0="00000009" w:csb1="00000000"/>
  </w:font>
  <w:font w:name="TimesNewRomanPS-BoldMT">
    <w:altName w:val="Calibri"/>
    <w:panose1 w:val="00000000000000000000"/>
    <w:charset w:val="A1"/>
    <w:family w:val="auto"/>
    <w:notTrueType/>
    <w:pitch w:val="default"/>
    <w:sig w:usb0="0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236066"/>
      <w:docPartObj>
        <w:docPartGallery w:val="Page Numbers (Bottom of Page)"/>
        <w:docPartUnique/>
      </w:docPartObj>
    </w:sdtPr>
    <w:sdtEndPr/>
    <w:sdtContent>
      <w:p w:rsidR="009158B4" w:rsidRDefault="009158B4">
        <w:pPr>
          <w:pStyle w:val="a5"/>
          <w:jc w:val="center"/>
        </w:pPr>
        <w:r>
          <w:fldChar w:fldCharType="begin"/>
        </w:r>
        <w:r>
          <w:instrText>PAGE   \* MERGEFORMAT</w:instrText>
        </w:r>
        <w:r>
          <w:fldChar w:fldCharType="separate"/>
        </w:r>
        <w:r w:rsidR="00A82825">
          <w:rPr>
            <w:noProof/>
          </w:rPr>
          <w:t>1</w:t>
        </w:r>
        <w:r>
          <w:fldChar w:fldCharType="end"/>
        </w:r>
      </w:p>
    </w:sdtContent>
  </w:sdt>
  <w:p w:rsidR="009158B4" w:rsidRDefault="009158B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104694"/>
      <w:docPartObj>
        <w:docPartGallery w:val="Page Numbers (Bottom of Page)"/>
        <w:docPartUnique/>
      </w:docPartObj>
    </w:sdtPr>
    <w:sdtEndPr/>
    <w:sdtContent>
      <w:p w:rsidR="009158B4" w:rsidRDefault="009158B4">
        <w:pPr>
          <w:pStyle w:val="a5"/>
          <w:jc w:val="center"/>
        </w:pPr>
        <w:r>
          <w:fldChar w:fldCharType="begin"/>
        </w:r>
        <w:r>
          <w:instrText>PAGE   \* MERGEFORMAT</w:instrText>
        </w:r>
        <w:r>
          <w:fldChar w:fldCharType="separate"/>
        </w:r>
        <w:r w:rsidR="00A82825">
          <w:rPr>
            <w:noProof/>
          </w:rPr>
          <w:t>47</w:t>
        </w:r>
        <w:r>
          <w:fldChar w:fldCharType="end"/>
        </w:r>
      </w:p>
    </w:sdtContent>
  </w:sdt>
  <w:p w:rsidR="009158B4" w:rsidRDefault="009158B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EC6" w:rsidRDefault="00732EC6" w:rsidP="007B0410">
      <w:pPr>
        <w:spacing w:after="0" w:line="240" w:lineRule="auto"/>
      </w:pPr>
      <w:r>
        <w:separator/>
      </w:r>
    </w:p>
  </w:footnote>
  <w:footnote w:type="continuationSeparator" w:id="0">
    <w:p w:rsidR="00732EC6" w:rsidRDefault="00732EC6" w:rsidP="007B0410">
      <w:pPr>
        <w:spacing w:after="0" w:line="240" w:lineRule="auto"/>
      </w:pPr>
      <w:r>
        <w:continuationSeparator/>
      </w:r>
    </w:p>
  </w:footnote>
  <w:footnote w:id="1">
    <w:p w:rsidR="005012DD" w:rsidRDefault="005012DD" w:rsidP="005012DD">
      <w:pPr>
        <w:pStyle w:val="a9"/>
      </w:pPr>
      <w:r w:rsidRPr="005012DD">
        <w:rPr>
          <w:rStyle w:val="aa"/>
        </w:rPr>
        <w:sym w:font="Symbol" w:char="F02A"/>
      </w:r>
      <w:r>
        <w:t xml:space="preserve"> Ολοκληρωμένη μορφή του άρθρου που έχει, εν μέρει, δημοσιευθεί στο περιοδικό «Εφημερίδα Διοικητικού Δικαίου», τ. 1/2020, σελ. 2 επ. </w:t>
      </w:r>
    </w:p>
    <w:p w:rsidR="005012DD" w:rsidRDefault="005012DD">
      <w:pPr>
        <w:pStyle w:val="a9"/>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FF0"/>
    <w:multiLevelType w:val="hybridMultilevel"/>
    <w:tmpl w:val="F496E64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15:restartNumberingAfterBreak="0">
    <w:nsid w:val="1D091184"/>
    <w:multiLevelType w:val="hybridMultilevel"/>
    <w:tmpl w:val="533A2E92"/>
    <w:lvl w:ilvl="0" w:tplc="4AF4C5B6">
      <w:start w:val="1"/>
      <w:numFmt w:val="decimal"/>
      <w:lvlText w:val="%1."/>
      <w:lvlJc w:val="left"/>
      <w:pPr>
        <w:ind w:left="644" w:hanging="360"/>
      </w:pPr>
      <w:rPr>
        <w:rFonts w:cs="Times New Roman" w:hint="default"/>
        <w:b/>
      </w:rPr>
    </w:lvl>
    <w:lvl w:ilvl="1" w:tplc="04080019">
      <w:start w:val="1"/>
      <w:numFmt w:val="lowerLetter"/>
      <w:lvlText w:val="%2."/>
      <w:lvlJc w:val="left"/>
      <w:pPr>
        <w:ind w:left="1364" w:hanging="360"/>
      </w:pPr>
      <w:rPr>
        <w:rFonts w:cs="Times New Roman"/>
      </w:rPr>
    </w:lvl>
    <w:lvl w:ilvl="2" w:tplc="0408001B">
      <w:start w:val="1"/>
      <w:numFmt w:val="lowerRoman"/>
      <w:lvlText w:val="%3."/>
      <w:lvlJc w:val="right"/>
      <w:pPr>
        <w:ind w:left="2084" w:hanging="180"/>
      </w:pPr>
      <w:rPr>
        <w:rFonts w:cs="Times New Roman"/>
      </w:rPr>
    </w:lvl>
    <w:lvl w:ilvl="3" w:tplc="0408000F">
      <w:start w:val="1"/>
      <w:numFmt w:val="decimal"/>
      <w:lvlText w:val="%4."/>
      <w:lvlJc w:val="left"/>
      <w:pPr>
        <w:ind w:left="2804" w:hanging="360"/>
      </w:pPr>
      <w:rPr>
        <w:rFonts w:cs="Times New Roman"/>
      </w:rPr>
    </w:lvl>
    <w:lvl w:ilvl="4" w:tplc="04080019">
      <w:start w:val="1"/>
      <w:numFmt w:val="lowerLetter"/>
      <w:lvlText w:val="%5."/>
      <w:lvlJc w:val="left"/>
      <w:pPr>
        <w:ind w:left="3524" w:hanging="360"/>
      </w:pPr>
      <w:rPr>
        <w:rFonts w:cs="Times New Roman"/>
      </w:rPr>
    </w:lvl>
    <w:lvl w:ilvl="5" w:tplc="0408001B">
      <w:start w:val="1"/>
      <w:numFmt w:val="lowerRoman"/>
      <w:lvlText w:val="%6."/>
      <w:lvlJc w:val="right"/>
      <w:pPr>
        <w:ind w:left="4244" w:hanging="180"/>
      </w:pPr>
      <w:rPr>
        <w:rFonts w:cs="Times New Roman"/>
      </w:rPr>
    </w:lvl>
    <w:lvl w:ilvl="6" w:tplc="0408000F">
      <w:start w:val="1"/>
      <w:numFmt w:val="decimal"/>
      <w:lvlText w:val="%7."/>
      <w:lvlJc w:val="left"/>
      <w:pPr>
        <w:ind w:left="4964" w:hanging="360"/>
      </w:pPr>
      <w:rPr>
        <w:rFonts w:cs="Times New Roman"/>
      </w:rPr>
    </w:lvl>
    <w:lvl w:ilvl="7" w:tplc="04080019">
      <w:start w:val="1"/>
      <w:numFmt w:val="lowerLetter"/>
      <w:lvlText w:val="%8."/>
      <w:lvlJc w:val="left"/>
      <w:pPr>
        <w:ind w:left="5684" w:hanging="360"/>
      </w:pPr>
      <w:rPr>
        <w:rFonts w:cs="Times New Roman"/>
      </w:rPr>
    </w:lvl>
    <w:lvl w:ilvl="8" w:tplc="0408001B">
      <w:start w:val="1"/>
      <w:numFmt w:val="lowerRoman"/>
      <w:lvlText w:val="%9."/>
      <w:lvlJc w:val="right"/>
      <w:pPr>
        <w:ind w:left="6404" w:hanging="180"/>
      </w:pPr>
      <w:rPr>
        <w:rFonts w:cs="Times New Roman"/>
      </w:rPr>
    </w:lvl>
  </w:abstractNum>
  <w:abstractNum w:abstractNumId="2" w15:restartNumberingAfterBreak="0">
    <w:nsid w:val="21EB7571"/>
    <w:multiLevelType w:val="hybridMultilevel"/>
    <w:tmpl w:val="443AB5B6"/>
    <w:lvl w:ilvl="0" w:tplc="82C8A368">
      <w:start w:val="1"/>
      <w:numFmt w:val="decimal"/>
      <w:lvlText w:val="%1."/>
      <w:lvlJc w:val="left"/>
      <w:pPr>
        <w:ind w:left="1211" w:hanging="360"/>
      </w:pPr>
      <w:rPr>
        <w:rFonts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 w15:restartNumberingAfterBreak="0">
    <w:nsid w:val="355967B9"/>
    <w:multiLevelType w:val="hybridMultilevel"/>
    <w:tmpl w:val="D7DCB36A"/>
    <w:lvl w:ilvl="0" w:tplc="04080013">
      <w:start w:val="1"/>
      <w:numFmt w:val="upperRoman"/>
      <w:lvlText w:val="%1."/>
      <w:lvlJc w:val="righ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15:restartNumberingAfterBreak="0">
    <w:nsid w:val="3B822F19"/>
    <w:multiLevelType w:val="hybridMultilevel"/>
    <w:tmpl w:val="3FFC0092"/>
    <w:lvl w:ilvl="0" w:tplc="E4D093CA">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D3A269A"/>
    <w:multiLevelType w:val="hybridMultilevel"/>
    <w:tmpl w:val="1A1AC3D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6" w15:restartNumberingAfterBreak="0">
    <w:nsid w:val="3E66000F"/>
    <w:multiLevelType w:val="hybridMultilevel"/>
    <w:tmpl w:val="2CDA0914"/>
    <w:lvl w:ilvl="0" w:tplc="BF2EC6CC">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B4C4046"/>
    <w:multiLevelType w:val="hybridMultilevel"/>
    <w:tmpl w:val="01AC5ADC"/>
    <w:lvl w:ilvl="0" w:tplc="AAE6DFB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2EC5244"/>
    <w:multiLevelType w:val="hybridMultilevel"/>
    <w:tmpl w:val="489843C2"/>
    <w:lvl w:ilvl="0" w:tplc="C2F8299A">
      <w:start w:val="3"/>
      <w:numFmt w:val="upp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63895C43"/>
    <w:multiLevelType w:val="hybridMultilevel"/>
    <w:tmpl w:val="7F8A6396"/>
    <w:lvl w:ilvl="0" w:tplc="D3B68378">
      <w:start w:val="1"/>
      <w:numFmt w:val="decimal"/>
      <w:lvlText w:val="%1."/>
      <w:lvlJc w:val="left"/>
      <w:pPr>
        <w:ind w:left="644" w:hanging="360"/>
      </w:pPr>
      <w:rPr>
        <w:rFonts w:cs="Times New Roman" w:hint="default"/>
        <w:b w:val="0"/>
      </w:rPr>
    </w:lvl>
    <w:lvl w:ilvl="1" w:tplc="04080019">
      <w:start w:val="1"/>
      <w:numFmt w:val="lowerLetter"/>
      <w:lvlText w:val="%2."/>
      <w:lvlJc w:val="left"/>
      <w:pPr>
        <w:ind w:left="1364" w:hanging="360"/>
      </w:pPr>
      <w:rPr>
        <w:rFonts w:cs="Times New Roman"/>
      </w:rPr>
    </w:lvl>
    <w:lvl w:ilvl="2" w:tplc="0408001B">
      <w:start w:val="1"/>
      <w:numFmt w:val="lowerRoman"/>
      <w:lvlText w:val="%3."/>
      <w:lvlJc w:val="right"/>
      <w:pPr>
        <w:ind w:left="2084" w:hanging="180"/>
      </w:pPr>
      <w:rPr>
        <w:rFonts w:cs="Times New Roman"/>
      </w:rPr>
    </w:lvl>
    <w:lvl w:ilvl="3" w:tplc="0408000F">
      <w:start w:val="1"/>
      <w:numFmt w:val="decimal"/>
      <w:lvlText w:val="%4."/>
      <w:lvlJc w:val="left"/>
      <w:pPr>
        <w:ind w:left="2804" w:hanging="360"/>
      </w:pPr>
      <w:rPr>
        <w:rFonts w:cs="Times New Roman"/>
      </w:rPr>
    </w:lvl>
    <w:lvl w:ilvl="4" w:tplc="04080019">
      <w:start w:val="1"/>
      <w:numFmt w:val="lowerLetter"/>
      <w:lvlText w:val="%5."/>
      <w:lvlJc w:val="left"/>
      <w:pPr>
        <w:ind w:left="3524" w:hanging="360"/>
      </w:pPr>
      <w:rPr>
        <w:rFonts w:cs="Times New Roman"/>
      </w:rPr>
    </w:lvl>
    <w:lvl w:ilvl="5" w:tplc="0408001B">
      <w:start w:val="1"/>
      <w:numFmt w:val="lowerRoman"/>
      <w:lvlText w:val="%6."/>
      <w:lvlJc w:val="right"/>
      <w:pPr>
        <w:ind w:left="4244" w:hanging="180"/>
      </w:pPr>
      <w:rPr>
        <w:rFonts w:cs="Times New Roman"/>
      </w:rPr>
    </w:lvl>
    <w:lvl w:ilvl="6" w:tplc="0408000F">
      <w:start w:val="1"/>
      <w:numFmt w:val="decimal"/>
      <w:lvlText w:val="%7."/>
      <w:lvlJc w:val="left"/>
      <w:pPr>
        <w:ind w:left="4964" w:hanging="360"/>
      </w:pPr>
      <w:rPr>
        <w:rFonts w:cs="Times New Roman"/>
      </w:rPr>
    </w:lvl>
    <w:lvl w:ilvl="7" w:tplc="04080019">
      <w:start w:val="1"/>
      <w:numFmt w:val="lowerLetter"/>
      <w:lvlText w:val="%8."/>
      <w:lvlJc w:val="left"/>
      <w:pPr>
        <w:ind w:left="5684" w:hanging="360"/>
      </w:pPr>
      <w:rPr>
        <w:rFonts w:cs="Times New Roman"/>
      </w:rPr>
    </w:lvl>
    <w:lvl w:ilvl="8" w:tplc="0408001B">
      <w:start w:val="1"/>
      <w:numFmt w:val="lowerRoman"/>
      <w:lvlText w:val="%9."/>
      <w:lvlJc w:val="right"/>
      <w:pPr>
        <w:ind w:left="6404" w:hanging="180"/>
      </w:pPr>
      <w:rPr>
        <w:rFonts w:cs="Times New Roman"/>
      </w:rPr>
    </w:lvl>
  </w:abstractNum>
  <w:abstractNum w:abstractNumId="10" w15:restartNumberingAfterBreak="0">
    <w:nsid w:val="680859E4"/>
    <w:multiLevelType w:val="hybridMultilevel"/>
    <w:tmpl w:val="6C428646"/>
    <w:lvl w:ilvl="0" w:tplc="04080001">
      <w:start w:val="1"/>
      <w:numFmt w:val="bullet"/>
      <w:lvlText w:val=""/>
      <w:lvlJc w:val="left"/>
      <w:pPr>
        <w:ind w:left="1647" w:hanging="360"/>
      </w:pPr>
      <w:rPr>
        <w:rFonts w:ascii="Symbol" w:hAnsi="Symbol" w:hint="default"/>
      </w:rPr>
    </w:lvl>
    <w:lvl w:ilvl="1" w:tplc="04080003">
      <w:start w:val="1"/>
      <w:numFmt w:val="bullet"/>
      <w:lvlText w:val="o"/>
      <w:lvlJc w:val="left"/>
      <w:pPr>
        <w:ind w:left="2367" w:hanging="360"/>
      </w:pPr>
      <w:rPr>
        <w:rFonts w:ascii="Courier New" w:hAnsi="Courier New" w:hint="default"/>
      </w:rPr>
    </w:lvl>
    <w:lvl w:ilvl="2" w:tplc="04080005">
      <w:start w:val="1"/>
      <w:numFmt w:val="bullet"/>
      <w:lvlText w:val=""/>
      <w:lvlJc w:val="left"/>
      <w:pPr>
        <w:ind w:left="3087" w:hanging="360"/>
      </w:pPr>
      <w:rPr>
        <w:rFonts w:ascii="Wingdings" w:hAnsi="Wingdings" w:hint="default"/>
      </w:rPr>
    </w:lvl>
    <w:lvl w:ilvl="3" w:tplc="04080001">
      <w:start w:val="1"/>
      <w:numFmt w:val="bullet"/>
      <w:lvlText w:val=""/>
      <w:lvlJc w:val="left"/>
      <w:pPr>
        <w:ind w:left="3807" w:hanging="360"/>
      </w:pPr>
      <w:rPr>
        <w:rFonts w:ascii="Symbol" w:hAnsi="Symbol" w:hint="default"/>
      </w:rPr>
    </w:lvl>
    <w:lvl w:ilvl="4" w:tplc="04080003">
      <w:start w:val="1"/>
      <w:numFmt w:val="bullet"/>
      <w:lvlText w:val="o"/>
      <w:lvlJc w:val="left"/>
      <w:pPr>
        <w:ind w:left="4527" w:hanging="360"/>
      </w:pPr>
      <w:rPr>
        <w:rFonts w:ascii="Courier New" w:hAnsi="Courier New" w:hint="default"/>
      </w:rPr>
    </w:lvl>
    <w:lvl w:ilvl="5" w:tplc="04080005">
      <w:start w:val="1"/>
      <w:numFmt w:val="bullet"/>
      <w:lvlText w:val=""/>
      <w:lvlJc w:val="left"/>
      <w:pPr>
        <w:ind w:left="5247" w:hanging="360"/>
      </w:pPr>
      <w:rPr>
        <w:rFonts w:ascii="Wingdings" w:hAnsi="Wingdings" w:hint="default"/>
      </w:rPr>
    </w:lvl>
    <w:lvl w:ilvl="6" w:tplc="04080001">
      <w:start w:val="1"/>
      <w:numFmt w:val="bullet"/>
      <w:lvlText w:val=""/>
      <w:lvlJc w:val="left"/>
      <w:pPr>
        <w:ind w:left="5967" w:hanging="360"/>
      </w:pPr>
      <w:rPr>
        <w:rFonts w:ascii="Symbol" w:hAnsi="Symbol" w:hint="default"/>
      </w:rPr>
    </w:lvl>
    <w:lvl w:ilvl="7" w:tplc="04080003">
      <w:start w:val="1"/>
      <w:numFmt w:val="bullet"/>
      <w:lvlText w:val="o"/>
      <w:lvlJc w:val="left"/>
      <w:pPr>
        <w:ind w:left="6687" w:hanging="360"/>
      </w:pPr>
      <w:rPr>
        <w:rFonts w:ascii="Courier New" w:hAnsi="Courier New" w:hint="default"/>
      </w:rPr>
    </w:lvl>
    <w:lvl w:ilvl="8" w:tplc="04080005">
      <w:start w:val="1"/>
      <w:numFmt w:val="bullet"/>
      <w:lvlText w:val=""/>
      <w:lvlJc w:val="left"/>
      <w:pPr>
        <w:ind w:left="7407" w:hanging="360"/>
      </w:pPr>
      <w:rPr>
        <w:rFonts w:ascii="Wingdings" w:hAnsi="Wingdings" w:hint="default"/>
      </w:rPr>
    </w:lvl>
  </w:abstractNum>
  <w:abstractNum w:abstractNumId="11" w15:restartNumberingAfterBreak="0">
    <w:nsid w:val="6B4624B0"/>
    <w:multiLevelType w:val="hybridMultilevel"/>
    <w:tmpl w:val="D92C132A"/>
    <w:lvl w:ilvl="0" w:tplc="04080013">
      <w:start w:val="1"/>
      <w:numFmt w:val="upperRoman"/>
      <w:lvlText w:val="%1."/>
      <w:lvlJc w:val="righ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2" w15:restartNumberingAfterBreak="0">
    <w:nsid w:val="76B85227"/>
    <w:multiLevelType w:val="hybridMultilevel"/>
    <w:tmpl w:val="3CFAD2B0"/>
    <w:lvl w:ilvl="0" w:tplc="470A9C52">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8E81DD2"/>
    <w:multiLevelType w:val="hybridMultilevel"/>
    <w:tmpl w:val="B98A7FB6"/>
    <w:lvl w:ilvl="0" w:tplc="23283836">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12"/>
  </w:num>
  <w:num w:numId="2">
    <w:abstractNumId w:val="11"/>
  </w:num>
  <w:num w:numId="3">
    <w:abstractNumId w:val="9"/>
  </w:num>
  <w:num w:numId="4">
    <w:abstractNumId w:val="1"/>
  </w:num>
  <w:num w:numId="5">
    <w:abstractNumId w:val="4"/>
  </w:num>
  <w:num w:numId="6">
    <w:abstractNumId w:val="6"/>
  </w:num>
  <w:num w:numId="7">
    <w:abstractNumId w:val="13"/>
  </w:num>
  <w:num w:numId="8">
    <w:abstractNumId w:val="7"/>
  </w:num>
  <w:num w:numId="9">
    <w:abstractNumId w:val="3"/>
  </w:num>
  <w:num w:numId="10">
    <w:abstractNumId w:val="8"/>
  </w:num>
  <w:num w:numId="11">
    <w:abstractNumId w:val="10"/>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3A"/>
    <w:rsid w:val="000052B1"/>
    <w:rsid w:val="000259FD"/>
    <w:rsid w:val="000724EC"/>
    <w:rsid w:val="00093176"/>
    <w:rsid w:val="000A12E4"/>
    <w:rsid w:val="000C433A"/>
    <w:rsid w:val="000D07D9"/>
    <w:rsid w:val="000F77F2"/>
    <w:rsid w:val="00101AA6"/>
    <w:rsid w:val="00111294"/>
    <w:rsid w:val="001409A0"/>
    <w:rsid w:val="00180377"/>
    <w:rsid w:val="00182135"/>
    <w:rsid w:val="0019486E"/>
    <w:rsid w:val="001B32AE"/>
    <w:rsid w:val="001C08AD"/>
    <w:rsid w:val="002018C0"/>
    <w:rsid w:val="002152C1"/>
    <w:rsid w:val="00236A12"/>
    <w:rsid w:val="00253D0F"/>
    <w:rsid w:val="00255FEE"/>
    <w:rsid w:val="002806FA"/>
    <w:rsid w:val="002A1BDF"/>
    <w:rsid w:val="002F0EB6"/>
    <w:rsid w:val="002F31C3"/>
    <w:rsid w:val="00303AFA"/>
    <w:rsid w:val="00315C75"/>
    <w:rsid w:val="003253F6"/>
    <w:rsid w:val="0035421B"/>
    <w:rsid w:val="00360A29"/>
    <w:rsid w:val="00361582"/>
    <w:rsid w:val="003770B9"/>
    <w:rsid w:val="00410402"/>
    <w:rsid w:val="00442F24"/>
    <w:rsid w:val="0044484E"/>
    <w:rsid w:val="00447682"/>
    <w:rsid w:val="00456322"/>
    <w:rsid w:val="00471DB0"/>
    <w:rsid w:val="004733B8"/>
    <w:rsid w:val="004813E0"/>
    <w:rsid w:val="004826D1"/>
    <w:rsid w:val="004A111F"/>
    <w:rsid w:val="004B23BD"/>
    <w:rsid w:val="004D02CB"/>
    <w:rsid w:val="005012DD"/>
    <w:rsid w:val="00505D29"/>
    <w:rsid w:val="00507C08"/>
    <w:rsid w:val="00512A65"/>
    <w:rsid w:val="00541497"/>
    <w:rsid w:val="00544A96"/>
    <w:rsid w:val="00550EC7"/>
    <w:rsid w:val="005610F3"/>
    <w:rsid w:val="00581F8C"/>
    <w:rsid w:val="005822AA"/>
    <w:rsid w:val="00590EDF"/>
    <w:rsid w:val="005B140C"/>
    <w:rsid w:val="005D7110"/>
    <w:rsid w:val="006279A0"/>
    <w:rsid w:val="00633B1F"/>
    <w:rsid w:val="00633F4C"/>
    <w:rsid w:val="006543E5"/>
    <w:rsid w:val="00684DB0"/>
    <w:rsid w:val="00687EF1"/>
    <w:rsid w:val="00695D4B"/>
    <w:rsid w:val="006969D3"/>
    <w:rsid w:val="00697BF4"/>
    <w:rsid w:val="006A7D2F"/>
    <w:rsid w:val="006C15F2"/>
    <w:rsid w:val="006C399A"/>
    <w:rsid w:val="0070740A"/>
    <w:rsid w:val="00707792"/>
    <w:rsid w:val="00710CB2"/>
    <w:rsid w:val="00712755"/>
    <w:rsid w:val="00732EC6"/>
    <w:rsid w:val="0077368B"/>
    <w:rsid w:val="00774118"/>
    <w:rsid w:val="0078349E"/>
    <w:rsid w:val="00797548"/>
    <w:rsid w:val="007A3CF0"/>
    <w:rsid w:val="007B0410"/>
    <w:rsid w:val="007F16F8"/>
    <w:rsid w:val="007F3616"/>
    <w:rsid w:val="00801ABE"/>
    <w:rsid w:val="00802808"/>
    <w:rsid w:val="00807ACF"/>
    <w:rsid w:val="008159AD"/>
    <w:rsid w:val="008765B5"/>
    <w:rsid w:val="008B31B8"/>
    <w:rsid w:val="008B3434"/>
    <w:rsid w:val="008B43AD"/>
    <w:rsid w:val="008C470C"/>
    <w:rsid w:val="008E3753"/>
    <w:rsid w:val="009158B4"/>
    <w:rsid w:val="00922FA0"/>
    <w:rsid w:val="009830AA"/>
    <w:rsid w:val="009A18B6"/>
    <w:rsid w:val="009B1E14"/>
    <w:rsid w:val="009B64D2"/>
    <w:rsid w:val="009E029B"/>
    <w:rsid w:val="009E3F1A"/>
    <w:rsid w:val="00A104CA"/>
    <w:rsid w:val="00A36618"/>
    <w:rsid w:val="00A827A6"/>
    <w:rsid w:val="00A82825"/>
    <w:rsid w:val="00A84C79"/>
    <w:rsid w:val="00A9110C"/>
    <w:rsid w:val="00AA4575"/>
    <w:rsid w:val="00AB3A5A"/>
    <w:rsid w:val="00AB618D"/>
    <w:rsid w:val="00AC1D12"/>
    <w:rsid w:val="00AC23FA"/>
    <w:rsid w:val="00AC3294"/>
    <w:rsid w:val="00AC3AF7"/>
    <w:rsid w:val="00AE277D"/>
    <w:rsid w:val="00AE7A1A"/>
    <w:rsid w:val="00B00021"/>
    <w:rsid w:val="00B01E01"/>
    <w:rsid w:val="00B274DE"/>
    <w:rsid w:val="00B43A8B"/>
    <w:rsid w:val="00B5346F"/>
    <w:rsid w:val="00B63AC2"/>
    <w:rsid w:val="00B64F30"/>
    <w:rsid w:val="00B72071"/>
    <w:rsid w:val="00B723A1"/>
    <w:rsid w:val="00BB5813"/>
    <w:rsid w:val="00BD14B7"/>
    <w:rsid w:val="00C01372"/>
    <w:rsid w:val="00C1677C"/>
    <w:rsid w:val="00C318C3"/>
    <w:rsid w:val="00C42A7A"/>
    <w:rsid w:val="00C76554"/>
    <w:rsid w:val="00CB12E1"/>
    <w:rsid w:val="00CB65E7"/>
    <w:rsid w:val="00CC4C35"/>
    <w:rsid w:val="00CD7837"/>
    <w:rsid w:val="00CE42E4"/>
    <w:rsid w:val="00CF0652"/>
    <w:rsid w:val="00CF2245"/>
    <w:rsid w:val="00D35400"/>
    <w:rsid w:val="00D36B20"/>
    <w:rsid w:val="00D8123E"/>
    <w:rsid w:val="00D86443"/>
    <w:rsid w:val="00DF075C"/>
    <w:rsid w:val="00DF35A2"/>
    <w:rsid w:val="00E4022F"/>
    <w:rsid w:val="00E45870"/>
    <w:rsid w:val="00E51255"/>
    <w:rsid w:val="00E5266F"/>
    <w:rsid w:val="00E92073"/>
    <w:rsid w:val="00EA2897"/>
    <w:rsid w:val="00EA2D5C"/>
    <w:rsid w:val="00EA7C52"/>
    <w:rsid w:val="00EB5100"/>
    <w:rsid w:val="00EF6630"/>
    <w:rsid w:val="00F2269A"/>
    <w:rsid w:val="00F24F7F"/>
    <w:rsid w:val="00F40568"/>
    <w:rsid w:val="00F53089"/>
    <w:rsid w:val="00FA1CA1"/>
    <w:rsid w:val="00FD46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57AA6-B1B0-4C5F-8726-7F7212CA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33A"/>
    <w:pPr>
      <w:ind w:left="720"/>
      <w:contextualSpacing/>
    </w:pPr>
  </w:style>
  <w:style w:type="paragraph" w:styleId="a4">
    <w:name w:val="header"/>
    <w:basedOn w:val="a"/>
    <w:link w:val="Char"/>
    <w:uiPriority w:val="99"/>
    <w:unhideWhenUsed/>
    <w:rsid w:val="007B0410"/>
    <w:pPr>
      <w:tabs>
        <w:tab w:val="center" w:pos="4153"/>
        <w:tab w:val="right" w:pos="8306"/>
      </w:tabs>
      <w:spacing w:after="0" w:line="240" w:lineRule="auto"/>
    </w:pPr>
  </w:style>
  <w:style w:type="character" w:customStyle="1" w:styleId="Char">
    <w:name w:val="Κεφαλίδα Char"/>
    <w:basedOn w:val="a0"/>
    <w:link w:val="a4"/>
    <w:uiPriority w:val="99"/>
    <w:rsid w:val="007B0410"/>
  </w:style>
  <w:style w:type="paragraph" w:styleId="a5">
    <w:name w:val="footer"/>
    <w:basedOn w:val="a"/>
    <w:link w:val="Char0"/>
    <w:uiPriority w:val="99"/>
    <w:unhideWhenUsed/>
    <w:rsid w:val="007B0410"/>
    <w:pPr>
      <w:tabs>
        <w:tab w:val="center" w:pos="4153"/>
        <w:tab w:val="right" w:pos="8306"/>
      </w:tabs>
      <w:spacing w:after="0" w:line="240" w:lineRule="auto"/>
    </w:pPr>
  </w:style>
  <w:style w:type="character" w:customStyle="1" w:styleId="Char0">
    <w:name w:val="Υποσέλιδο Char"/>
    <w:basedOn w:val="a0"/>
    <w:link w:val="a5"/>
    <w:uiPriority w:val="99"/>
    <w:rsid w:val="007B0410"/>
  </w:style>
  <w:style w:type="paragraph" w:customStyle="1" w:styleId="1">
    <w:name w:val="Παράγραφος λίστας1"/>
    <w:basedOn w:val="a"/>
    <w:uiPriority w:val="34"/>
    <w:qFormat/>
    <w:rsid w:val="00AB3A5A"/>
    <w:pPr>
      <w:spacing w:after="0" w:line="240" w:lineRule="auto"/>
      <w:ind w:left="720"/>
    </w:pPr>
    <w:rPr>
      <w:rFonts w:ascii="Garamond" w:eastAsia="Times New Roman" w:hAnsi="Garamond" w:cs="Times New Roman"/>
      <w:sz w:val="21"/>
      <w:szCs w:val="20"/>
      <w:lang w:val="en-US"/>
    </w:rPr>
  </w:style>
  <w:style w:type="paragraph" w:customStyle="1" w:styleId="10">
    <w:name w:val="Παράγραφος λίστας1"/>
    <w:basedOn w:val="a"/>
    <w:uiPriority w:val="34"/>
    <w:qFormat/>
    <w:rsid w:val="00A9110C"/>
    <w:pPr>
      <w:spacing w:after="0" w:line="240" w:lineRule="auto"/>
      <w:ind w:left="720"/>
    </w:pPr>
    <w:rPr>
      <w:rFonts w:ascii="Garamond" w:eastAsia="Times New Roman" w:hAnsi="Garamond" w:cs="Times New Roman"/>
      <w:sz w:val="21"/>
      <w:szCs w:val="20"/>
      <w:lang w:val="en-US"/>
    </w:rPr>
  </w:style>
  <w:style w:type="paragraph" w:styleId="a6">
    <w:name w:val="Balloon Text"/>
    <w:basedOn w:val="a"/>
    <w:link w:val="Char1"/>
    <w:uiPriority w:val="99"/>
    <w:semiHidden/>
    <w:unhideWhenUsed/>
    <w:rsid w:val="00544A96"/>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44A96"/>
    <w:rPr>
      <w:rFonts w:ascii="Segoe UI" w:hAnsi="Segoe UI" w:cs="Segoe UI"/>
      <w:sz w:val="18"/>
      <w:szCs w:val="18"/>
    </w:rPr>
  </w:style>
  <w:style w:type="paragraph" w:styleId="a7">
    <w:name w:val="endnote text"/>
    <w:basedOn w:val="a"/>
    <w:link w:val="Char2"/>
    <w:uiPriority w:val="99"/>
    <w:semiHidden/>
    <w:unhideWhenUsed/>
    <w:rsid w:val="00797548"/>
    <w:pPr>
      <w:spacing w:after="0" w:line="240" w:lineRule="auto"/>
    </w:pPr>
    <w:rPr>
      <w:sz w:val="20"/>
      <w:szCs w:val="20"/>
    </w:rPr>
  </w:style>
  <w:style w:type="character" w:customStyle="1" w:styleId="Char2">
    <w:name w:val="Κείμενο σημείωσης τέλους Char"/>
    <w:basedOn w:val="a0"/>
    <w:link w:val="a7"/>
    <w:uiPriority w:val="99"/>
    <w:semiHidden/>
    <w:rsid w:val="00797548"/>
    <w:rPr>
      <w:sz w:val="20"/>
      <w:szCs w:val="20"/>
    </w:rPr>
  </w:style>
  <w:style w:type="character" w:styleId="a8">
    <w:name w:val="endnote reference"/>
    <w:basedOn w:val="a0"/>
    <w:uiPriority w:val="99"/>
    <w:semiHidden/>
    <w:unhideWhenUsed/>
    <w:rsid w:val="00797548"/>
    <w:rPr>
      <w:vertAlign w:val="superscript"/>
    </w:rPr>
  </w:style>
  <w:style w:type="paragraph" w:styleId="a9">
    <w:name w:val="footnote text"/>
    <w:basedOn w:val="a"/>
    <w:link w:val="Char3"/>
    <w:uiPriority w:val="99"/>
    <w:semiHidden/>
    <w:unhideWhenUsed/>
    <w:rsid w:val="002152C1"/>
    <w:pPr>
      <w:spacing w:after="0" w:line="240" w:lineRule="auto"/>
    </w:pPr>
    <w:rPr>
      <w:sz w:val="20"/>
      <w:szCs w:val="20"/>
    </w:rPr>
  </w:style>
  <w:style w:type="character" w:customStyle="1" w:styleId="Char3">
    <w:name w:val="Κείμενο υποσημείωσης Char"/>
    <w:basedOn w:val="a0"/>
    <w:link w:val="a9"/>
    <w:uiPriority w:val="99"/>
    <w:semiHidden/>
    <w:rsid w:val="002152C1"/>
    <w:rPr>
      <w:sz w:val="20"/>
      <w:szCs w:val="20"/>
    </w:rPr>
  </w:style>
  <w:style w:type="character" w:styleId="aa">
    <w:name w:val="footnote reference"/>
    <w:basedOn w:val="a0"/>
    <w:uiPriority w:val="99"/>
    <w:semiHidden/>
    <w:unhideWhenUsed/>
    <w:rsid w:val="002152C1"/>
    <w:rPr>
      <w:vertAlign w:val="superscript"/>
    </w:rPr>
  </w:style>
  <w:style w:type="paragraph" w:customStyle="1" w:styleId="2">
    <w:name w:val="Παράγραφος λίστας2"/>
    <w:basedOn w:val="a"/>
    <w:uiPriority w:val="34"/>
    <w:qFormat/>
    <w:rsid w:val="002018C0"/>
    <w:pPr>
      <w:spacing w:after="0" w:line="240" w:lineRule="auto"/>
      <w:ind w:left="720"/>
    </w:pPr>
    <w:rPr>
      <w:rFonts w:ascii="Garamond" w:eastAsia="Times New Roman" w:hAnsi="Garamond" w:cs="Times New Roman"/>
      <w:sz w:val="21"/>
      <w:szCs w:val="20"/>
      <w:lang w:val="en-US"/>
    </w:rPr>
  </w:style>
  <w:style w:type="character" w:styleId="-">
    <w:name w:val="Hyperlink"/>
    <w:basedOn w:val="a0"/>
    <w:uiPriority w:val="99"/>
    <w:semiHidden/>
    <w:unhideWhenUsed/>
    <w:rsid w:val="00EB5100"/>
    <w:rPr>
      <w:color w:val="0000FF"/>
      <w:u w:val="single"/>
    </w:rPr>
  </w:style>
  <w:style w:type="character" w:customStyle="1" w:styleId="highlight">
    <w:name w:val="highlight"/>
    <w:basedOn w:val="a0"/>
    <w:rsid w:val="00EB5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7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928;&#961;&#959;&#963;&#945;&#961;&#956;&#959;&#963;&#956;&#941;&#957;&#945;%20&#960;&#961;&#972;&#964;&#965;&#960;&#945;%20&#964;&#959;&#965;%20Office\&#922;&#949;&#957;&#972;%20&#941;&#947;&#947;&#961;&#945;&#966;&#959;.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1BC19-2144-4AED-9572-F6FA2344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Κενό έγγραφο</Template>
  <TotalTime>1</TotalTime>
  <Pages>48</Pages>
  <Words>13248</Words>
  <Characters>71544</Characters>
  <Application>Microsoft Office Word</Application>
  <DocSecurity>0</DocSecurity>
  <Lines>596</Lines>
  <Paragraphs>169</Paragraphs>
  <ScaleCrop>false</ScaleCrop>
  <HeadingPairs>
    <vt:vector size="2" baseType="variant">
      <vt:variant>
        <vt:lpstr>Τίτλος</vt:lpstr>
      </vt:variant>
      <vt:variant>
        <vt:i4>1</vt:i4>
      </vt:variant>
    </vt:vector>
  </HeadingPairs>
  <TitlesOfParts>
    <vt:vector size="1" baseType="lpstr">
      <vt:lpstr>Κενό Έγγραφο</vt:lpstr>
    </vt:vector>
  </TitlesOfParts>
  <Company/>
  <LinksUpToDate>false</LinksUpToDate>
  <CharactersWithSpaces>84623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Κενό Έγγραφο</dc:title>
  <dc:subject/>
  <dc:creator>user</dc:creator>
  <cp:keywords/>
  <dc:description/>
  <cp:lastModifiedBy>User</cp:lastModifiedBy>
  <cp:revision>2</cp:revision>
  <cp:lastPrinted>2020-06-10T10:09:00Z</cp:lastPrinted>
  <dcterms:created xsi:type="dcterms:W3CDTF">2020-06-15T12:21:00Z</dcterms:created>
  <dcterms:modified xsi:type="dcterms:W3CDTF">2020-06-15T12:21:00Z</dcterms:modified>
</cp:coreProperties>
</file>