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1E35" w14:textId="0CBE1E47" w:rsidR="00C436C5" w:rsidRDefault="00C436C5" w:rsidP="00663E5E">
      <w:pPr>
        <w:spacing w:after="0" w:line="288" w:lineRule="auto"/>
        <w:jc w:val="center"/>
        <w:rPr>
          <w:rFonts w:ascii="Verdana" w:hAnsi="Verdana"/>
          <w:b/>
          <w:u w:val="single"/>
        </w:rPr>
      </w:pPr>
      <w:r>
        <w:rPr>
          <w:rFonts w:ascii="Verdana" w:hAnsi="Verdana"/>
          <w:b/>
          <w:u w:val="single"/>
        </w:rPr>
        <w:t xml:space="preserve">ΕΠΙΤΡΟΠΗ </w:t>
      </w:r>
      <w:r w:rsidR="007F2A15">
        <w:rPr>
          <w:rFonts w:ascii="Verdana" w:hAnsi="Verdana"/>
          <w:b/>
          <w:u w:val="single"/>
        </w:rPr>
        <w:t>ΚΟΙΝΟΤΙΚΩΝ ΔΙΚΗΓΟΡΩΝ</w:t>
      </w:r>
    </w:p>
    <w:p w14:paraId="2C599B71" w14:textId="7A972577" w:rsidR="007E6D98" w:rsidRPr="002C73E9" w:rsidRDefault="00602FA7" w:rsidP="00602FA7">
      <w:pPr>
        <w:spacing w:after="240" w:line="288" w:lineRule="auto"/>
        <w:jc w:val="center"/>
        <w:rPr>
          <w:rFonts w:ascii="Verdana" w:hAnsi="Verdana"/>
          <w:b/>
        </w:rPr>
      </w:pPr>
      <w:r>
        <w:rPr>
          <w:rFonts w:ascii="Verdana" w:hAnsi="Verdana"/>
          <w:b/>
        </w:rPr>
        <w:t xml:space="preserve">Βρυξέλλες, </w:t>
      </w:r>
      <w:r w:rsidR="00FB23CE" w:rsidRPr="002C73E9">
        <w:rPr>
          <w:rFonts w:ascii="Verdana" w:hAnsi="Verdana"/>
          <w:b/>
        </w:rPr>
        <w:t>1</w:t>
      </w:r>
      <w:r w:rsidR="00E31864">
        <w:rPr>
          <w:rFonts w:ascii="Verdana" w:hAnsi="Verdana"/>
          <w:b/>
        </w:rPr>
        <w:t>8</w:t>
      </w:r>
      <w:r w:rsidR="00FB23CE" w:rsidRPr="002C73E9">
        <w:rPr>
          <w:rFonts w:ascii="Verdana" w:hAnsi="Verdana"/>
          <w:b/>
        </w:rPr>
        <w:t>.</w:t>
      </w:r>
      <w:r w:rsidR="00E31864">
        <w:rPr>
          <w:rFonts w:ascii="Verdana" w:hAnsi="Verdana"/>
          <w:b/>
        </w:rPr>
        <w:t>1</w:t>
      </w:r>
      <w:r w:rsidR="00FB23CE" w:rsidRPr="002C73E9">
        <w:rPr>
          <w:rFonts w:ascii="Verdana" w:hAnsi="Verdana"/>
          <w:b/>
        </w:rPr>
        <w:t xml:space="preserve">0.2018 </w:t>
      </w:r>
      <w:r>
        <w:rPr>
          <w:rFonts w:ascii="Verdana" w:hAnsi="Verdana"/>
          <w:b/>
        </w:rPr>
        <w:t>(</w:t>
      </w:r>
      <w:r w:rsidR="00FB23CE" w:rsidRPr="002C73E9">
        <w:rPr>
          <w:rFonts w:ascii="Verdana" w:hAnsi="Verdana"/>
          <w:b/>
        </w:rPr>
        <w:t>1</w:t>
      </w:r>
      <w:r w:rsidR="00E31864">
        <w:rPr>
          <w:rFonts w:ascii="Verdana" w:hAnsi="Verdana"/>
          <w:b/>
        </w:rPr>
        <w:t>4</w:t>
      </w:r>
      <w:r w:rsidR="00FB23CE" w:rsidRPr="002C73E9">
        <w:rPr>
          <w:rFonts w:ascii="Verdana" w:hAnsi="Verdana"/>
          <w:b/>
        </w:rPr>
        <w:t>:00-1</w:t>
      </w:r>
      <w:r w:rsidR="00E31864">
        <w:rPr>
          <w:rFonts w:ascii="Verdana" w:hAnsi="Verdana"/>
          <w:b/>
        </w:rPr>
        <w:t>6</w:t>
      </w:r>
      <w:r w:rsidR="00FB23CE" w:rsidRPr="002C73E9">
        <w:rPr>
          <w:rFonts w:ascii="Verdana" w:hAnsi="Verdana"/>
          <w:b/>
        </w:rPr>
        <w:t>:00</w:t>
      </w:r>
      <w:r>
        <w:rPr>
          <w:rFonts w:ascii="Verdana" w:hAnsi="Verdana"/>
          <w:b/>
        </w:rPr>
        <w:t>)</w:t>
      </w:r>
    </w:p>
    <w:p w14:paraId="3A48DE39" w14:textId="102A4676" w:rsidR="005A2674" w:rsidRDefault="00E709AC" w:rsidP="00602FA7">
      <w:pPr>
        <w:spacing w:after="240" w:line="288" w:lineRule="auto"/>
        <w:jc w:val="both"/>
        <w:rPr>
          <w:rFonts w:ascii="Verdana" w:hAnsi="Verdana"/>
        </w:rPr>
      </w:pPr>
      <w:r w:rsidRPr="00E31864">
        <w:rPr>
          <w:rFonts w:ascii="Verdana" w:hAnsi="Verdana"/>
        </w:rPr>
        <w:t xml:space="preserve">1.- </w:t>
      </w:r>
      <w:r w:rsidR="005A2674" w:rsidRPr="00EC761C">
        <w:rPr>
          <w:rFonts w:ascii="Verdana" w:hAnsi="Verdana"/>
          <w:b/>
        </w:rPr>
        <w:t>Οδηγία 2018/958</w:t>
      </w:r>
      <w:r w:rsidR="005A2674">
        <w:rPr>
          <w:rFonts w:ascii="Verdana" w:hAnsi="Verdana"/>
        </w:rPr>
        <w:t xml:space="preserve"> </w:t>
      </w:r>
      <w:r w:rsidR="003E12AD">
        <w:rPr>
          <w:rFonts w:ascii="Verdana" w:hAnsi="Verdana"/>
        </w:rPr>
        <w:t xml:space="preserve">για </w:t>
      </w:r>
      <w:r w:rsidR="005A2674" w:rsidRPr="00E31864">
        <w:rPr>
          <w:rFonts w:ascii="Verdana" w:hAnsi="Verdana"/>
        </w:rPr>
        <w:t xml:space="preserve">τον έλεγχο αναλογικότητας </w:t>
      </w:r>
      <w:r w:rsidR="005A2674">
        <w:rPr>
          <w:rFonts w:ascii="Verdana" w:hAnsi="Verdana"/>
        </w:rPr>
        <w:t>(</w:t>
      </w:r>
      <w:r w:rsidR="005A2674" w:rsidRPr="00EC761C">
        <w:rPr>
          <w:rFonts w:ascii="Verdana" w:hAnsi="Verdana"/>
          <w:b/>
          <w:lang w:val="en-US"/>
        </w:rPr>
        <w:t>Proportionality</w:t>
      </w:r>
      <w:r w:rsidR="005A2674" w:rsidRPr="00EC761C">
        <w:rPr>
          <w:rFonts w:ascii="Verdana" w:hAnsi="Verdana"/>
          <w:b/>
        </w:rPr>
        <w:t xml:space="preserve"> </w:t>
      </w:r>
      <w:r w:rsidR="005A2674" w:rsidRPr="00EC761C">
        <w:rPr>
          <w:rFonts w:ascii="Verdana" w:hAnsi="Verdana"/>
          <w:b/>
          <w:lang w:val="en-US"/>
        </w:rPr>
        <w:t>Test</w:t>
      </w:r>
      <w:r w:rsidR="005A2674" w:rsidRPr="00E31864">
        <w:rPr>
          <w:rFonts w:ascii="Verdana" w:hAnsi="Verdana"/>
        </w:rPr>
        <w:t>) πριν από τη θέσπιση νέας νομοθετικής κατοχύρωσης των επαγγελμάτων</w:t>
      </w:r>
      <w:r w:rsidR="005A2674">
        <w:rPr>
          <w:rFonts w:ascii="Verdana" w:hAnsi="Verdana"/>
        </w:rPr>
        <w:t xml:space="preserve"> (ψηφ</w:t>
      </w:r>
      <w:r w:rsidR="006F1009">
        <w:rPr>
          <w:rFonts w:ascii="Verdana" w:hAnsi="Verdana"/>
        </w:rPr>
        <w:t xml:space="preserve">ίστηκε στις </w:t>
      </w:r>
      <w:r w:rsidR="005A2674">
        <w:rPr>
          <w:rFonts w:ascii="Verdana" w:hAnsi="Verdana"/>
        </w:rPr>
        <w:t>28.06.2018</w:t>
      </w:r>
      <w:r w:rsidR="006F1009">
        <w:rPr>
          <w:rFonts w:ascii="Verdana" w:hAnsi="Verdana"/>
        </w:rPr>
        <w:t xml:space="preserve"> και πρέπει να ενσωματωθεί μέχρι τις 30.07.2020</w:t>
      </w:r>
      <w:r w:rsidR="005A2674">
        <w:rPr>
          <w:rFonts w:ascii="Verdana" w:hAnsi="Verdana"/>
        </w:rPr>
        <w:t>)</w:t>
      </w:r>
      <w:r w:rsidR="00B83243">
        <w:rPr>
          <w:rFonts w:ascii="Verdana" w:hAnsi="Verdana"/>
        </w:rPr>
        <w:t xml:space="preserve">. </w:t>
      </w:r>
    </w:p>
    <w:p w14:paraId="25BFF9A2" w14:textId="1E080D57" w:rsidR="00831EA5" w:rsidRDefault="00591568" w:rsidP="00602FA7">
      <w:pPr>
        <w:spacing w:after="240" w:line="288" w:lineRule="auto"/>
        <w:jc w:val="both"/>
        <w:rPr>
          <w:rFonts w:ascii="Verdana" w:hAnsi="Verdana"/>
        </w:rPr>
      </w:pPr>
      <w:r>
        <w:rPr>
          <w:rFonts w:ascii="Verdana" w:hAnsi="Verdana"/>
        </w:rPr>
        <w:t xml:space="preserve">Η Επιτροπή συζήτησε </w:t>
      </w:r>
      <w:r w:rsidR="004F4D73">
        <w:rPr>
          <w:rFonts w:ascii="Verdana" w:hAnsi="Verdana"/>
        </w:rPr>
        <w:t xml:space="preserve">επί της πρότασης κοινού ανακοινωθέντος </w:t>
      </w:r>
      <w:r w:rsidR="003222F3">
        <w:rPr>
          <w:rFonts w:ascii="Verdana" w:hAnsi="Verdana"/>
        </w:rPr>
        <w:t xml:space="preserve">της </w:t>
      </w:r>
      <w:r w:rsidR="003222F3">
        <w:rPr>
          <w:rFonts w:ascii="Verdana" w:hAnsi="Verdana"/>
          <w:lang w:val="en-US"/>
        </w:rPr>
        <w:t>CCBE</w:t>
      </w:r>
      <w:r w:rsidR="003222F3" w:rsidRPr="003222F3">
        <w:rPr>
          <w:rFonts w:ascii="Verdana" w:hAnsi="Verdana"/>
        </w:rPr>
        <w:t xml:space="preserve"> </w:t>
      </w:r>
      <w:r w:rsidR="003222F3">
        <w:rPr>
          <w:rFonts w:ascii="Verdana" w:hAnsi="Verdana"/>
        </w:rPr>
        <w:t>με άλλες ευρωπαϊκές οργανώσεις ελευθέρων επαγγελμάτων (αρχιτέκτονες, οδοντιάτρους, γιατρούς, μηχανικούς, δικηγόρους, συμβολαιογράφους φαρμακοποιούς και κτηνιάτρους)</w:t>
      </w:r>
      <w:r w:rsidR="003E12AD">
        <w:rPr>
          <w:rFonts w:ascii="Verdana" w:hAnsi="Verdana"/>
        </w:rPr>
        <w:t>,</w:t>
      </w:r>
      <w:r w:rsidR="003222F3">
        <w:rPr>
          <w:rFonts w:ascii="Verdana" w:hAnsi="Verdana"/>
        </w:rPr>
        <w:t xml:space="preserve"> επειδή </w:t>
      </w:r>
      <w:r w:rsidR="003E12AD">
        <w:rPr>
          <w:rFonts w:ascii="Verdana" w:hAnsi="Verdana"/>
        </w:rPr>
        <w:t xml:space="preserve">προκύπτουν </w:t>
      </w:r>
      <w:r w:rsidR="006A0687">
        <w:rPr>
          <w:rFonts w:ascii="Verdana" w:hAnsi="Verdana"/>
        </w:rPr>
        <w:t xml:space="preserve">επιφυλάξεις </w:t>
      </w:r>
      <w:r w:rsidR="003222F3">
        <w:rPr>
          <w:rFonts w:ascii="Verdana" w:hAnsi="Verdana"/>
        </w:rPr>
        <w:t xml:space="preserve">σχετικά με </w:t>
      </w:r>
      <w:r w:rsidR="005A2674">
        <w:rPr>
          <w:rFonts w:ascii="Verdana" w:hAnsi="Verdana"/>
        </w:rPr>
        <w:t>την μεταφορά της Οδηγίας στις εθνικές νομοθεσίες. Ειδικ</w:t>
      </w:r>
      <w:r w:rsidR="000D42F3">
        <w:rPr>
          <w:rFonts w:ascii="Verdana" w:hAnsi="Verdana"/>
        </w:rPr>
        <w:t>ότερα</w:t>
      </w:r>
      <w:r w:rsidR="00831EA5">
        <w:rPr>
          <w:rFonts w:ascii="Verdana" w:hAnsi="Verdana"/>
        </w:rPr>
        <w:t>:</w:t>
      </w:r>
    </w:p>
    <w:p w14:paraId="075E5E39" w14:textId="38CD55D6" w:rsidR="004F4D73" w:rsidRDefault="00831EA5" w:rsidP="00602FA7">
      <w:pPr>
        <w:spacing w:after="240" w:line="288" w:lineRule="auto"/>
        <w:jc w:val="both"/>
        <w:rPr>
          <w:rFonts w:ascii="Verdana" w:hAnsi="Verdana"/>
        </w:rPr>
      </w:pPr>
      <w:r>
        <w:rPr>
          <w:rFonts w:ascii="Verdana" w:hAnsi="Verdana"/>
        </w:rPr>
        <w:t>(α)</w:t>
      </w:r>
      <w:r w:rsidR="005A2674">
        <w:rPr>
          <w:rFonts w:ascii="Verdana" w:hAnsi="Verdana"/>
        </w:rPr>
        <w:t xml:space="preserve"> </w:t>
      </w:r>
      <w:r w:rsidR="006A0687">
        <w:rPr>
          <w:rFonts w:ascii="Verdana" w:hAnsi="Verdana"/>
        </w:rPr>
        <w:t xml:space="preserve">επισημαίνεται </w:t>
      </w:r>
      <w:r w:rsidR="005A2674">
        <w:rPr>
          <w:rFonts w:ascii="Verdana" w:hAnsi="Verdana"/>
        </w:rPr>
        <w:t>ότι ο προβλεπόμενος έλεγχος αναλογικότητας (</w:t>
      </w:r>
      <w:r w:rsidR="005A2674">
        <w:rPr>
          <w:rFonts w:ascii="Verdana" w:hAnsi="Verdana"/>
          <w:lang w:val="en-US"/>
        </w:rPr>
        <w:t>proportionality</w:t>
      </w:r>
      <w:r w:rsidR="005A2674" w:rsidRPr="005A2674">
        <w:rPr>
          <w:rFonts w:ascii="Verdana" w:hAnsi="Verdana"/>
        </w:rPr>
        <w:t xml:space="preserve"> </w:t>
      </w:r>
      <w:r w:rsidR="005A2674">
        <w:rPr>
          <w:rFonts w:ascii="Verdana" w:hAnsi="Verdana"/>
          <w:lang w:val="en-US"/>
        </w:rPr>
        <w:t>test</w:t>
      </w:r>
      <w:r w:rsidR="005A2674" w:rsidRPr="005A2674">
        <w:rPr>
          <w:rFonts w:ascii="Verdana" w:hAnsi="Verdana"/>
        </w:rPr>
        <w:t xml:space="preserve">) </w:t>
      </w:r>
      <w:r w:rsidR="005A2674">
        <w:rPr>
          <w:rFonts w:ascii="Verdana" w:hAnsi="Verdana"/>
        </w:rPr>
        <w:t>μπορεί δυνητικά να καταστεί ιδιαίτερα επαχθής και χρονοβόρος για τα κράτη</w:t>
      </w:r>
      <w:r w:rsidR="008654A9">
        <w:rPr>
          <w:rFonts w:ascii="Verdana" w:hAnsi="Verdana"/>
        </w:rPr>
        <w:t>-</w:t>
      </w:r>
      <w:r w:rsidR="005A2674">
        <w:rPr>
          <w:rFonts w:ascii="Verdana" w:hAnsi="Verdana"/>
        </w:rPr>
        <w:t xml:space="preserve">μέλη </w:t>
      </w:r>
      <w:r w:rsidR="00F208BC">
        <w:rPr>
          <w:rFonts w:ascii="Verdana" w:hAnsi="Verdana"/>
        </w:rPr>
        <w:t xml:space="preserve">(δεδομένου ότι απαιτείται οικονομοτεχνική τεκμηρίωση) και, επομένως, να επιβραδύνεται </w:t>
      </w:r>
      <w:r w:rsidR="00493C3D">
        <w:rPr>
          <w:rFonts w:ascii="Verdana" w:hAnsi="Verdana"/>
        </w:rPr>
        <w:t xml:space="preserve">(ή και να παρακωλύεται εξ ολοκλήρου) </w:t>
      </w:r>
      <w:r w:rsidR="00F208BC">
        <w:rPr>
          <w:rFonts w:ascii="Verdana" w:hAnsi="Verdana"/>
        </w:rPr>
        <w:t>η νομοθετική πρωτοβουλία. Εξ άλλου</w:t>
      </w:r>
      <w:r w:rsidR="006A0687">
        <w:rPr>
          <w:rFonts w:ascii="Verdana" w:hAnsi="Verdana"/>
        </w:rPr>
        <w:t>,</w:t>
      </w:r>
      <w:r w:rsidR="00F208BC">
        <w:rPr>
          <w:rFonts w:ascii="Verdana" w:hAnsi="Verdana"/>
        </w:rPr>
        <w:t xml:space="preserve"> λόγω ακριβώς της υποχρέωσης τεκμηρίωσης των ρυθμιστικών μέτρων, ενδέχεται τα </w:t>
      </w:r>
      <w:r w:rsidR="006A0687">
        <w:rPr>
          <w:rFonts w:ascii="Verdana" w:hAnsi="Verdana"/>
        </w:rPr>
        <w:t xml:space="preserve">ΚΜ </w:t>
      </w:r>
      <w:r w:rsidR="00F208BC">
        <w:rPr>
          <w:rFonts w:ascii="Verdana" w:hAnsi="Verdana"/>
        </w:rPr>
        <w:t xml:space="preserve">να αποφεύγουν </w:t>
      </w:r>
      <w:r w:rsidR="00493C3D">
        <w:rPr>
          <w:rFonts w:ascii="Verdana" w:hAnsi="Verdana"/>
        </w:rPr>
        <w:t xml:space="preserve">ακόμα και τη θέσπιση </w:t>
      </w:r>
      <w:r w:rsidR="00F208BC">
        <w:rPr>
          <w:rFonts w:ascii="Verdana" w:hAnsi="Verdana"/>
        </w:rPr>
        <w:t>περιορισμών που πληρούν τα κριτήρια του δημοσίου συμφέροντος, της αναγκαιότητας και της αναλογικότητας.</w:t>
      </w:r>
    </w:p>
    <w:p w14:paraId="5BE84F5F" w14:textId="48A354FB" w:rsidR="00831EA5" w:rsidRDefault="00831EA5" w:rsidP="00602FA7">
      <w:pPr>
        <w:spacing w:after="240" w:line="288" w:lineRule="auto"/>
        <w:jc w:val="both"/>
        <w:rPr>
          <w:rFonts w:ascii="Verdana" w:hAnsi="Verdana"/>
        </w:rPr>
      </w:pPr>
      <w:r>
        <w:rPr>
          <w:rFonts w:ascii="Verdana" w:hAnsi="Verdana"/>
        </w:rPr>
        <w:t>(β) τονίζεται ότι</w:t>
      </w:r>
      <w:r w:rsidR="00182E47">
        <w:rPr>
          <w:rFonts w:ascii="Verdana" w:hAnsi="Verdana"/>
        </w:rPr>
        <w:t>,</w:t>
      </w:r>
      <w:r>
        <w:rPr>
          <w:rFonts w:ascii="Verdana" w:hAnsi="Verdana"/>
        </w:rPr>
        <w:t xml:space="preserve"> παρόλο που τα θεσπιζόμενα από την Οδηγία κριτήρια είναι</w:t>
      </w:r>
      <w:r w:rsidR="00753953">
        <w:rPr>
          <w:rFonts w:ascii="Verdana" w:hAnsi="Verdana"/>
        </w:rPr>
        <w:t xml:space="preserve"> διεξοδικά,</w:t>
      </w:r>
      <w:r>
        <w:rPr>
          <w:rFonts w:ascii="Verdana" w:hAnsi="Verdana"/>
        </w:rPr>
        <w:t xml:space="preserve"> </w:t>
      </w:r>
      <w:r w:rsidR="00021098">
        <w:rPr>
          <w:rFonts w:ascii="Verdana" w:hAnsi="Verdana"/>
        </w:rPr>
        <w:t xml:space="preserve">πρέπει </w:t>
      </w:r>
      <w:r w:rsidR="00753953">
        <w:rPr>
          <w:rFonts w:ascii="Verdana" w:hAnsi="Verdana"/>
        </w:rPr>
        <w:t xml:space="preserve">ωστόσο </w:t>
      </w:r>
      <w:r w:rsidR="00021098">
        <w:rPr>
          <w:rFonts w:ascii="Verdana" w:hAnsi="Verdana"/>
        </w:rPr>
        <w:t xml:space="preserve">να επιτρέπεται στα </w:t>
      </w:r>
      <w:r w:rsidR="006A0687">
        <w:rPr>
          <w:rFonts w:ascii="Verdana" w:hAnsi="Verdana"/>
        </w:rPr>
        <w:t>ΚΜ</w:t>
      </w:r>
      <w:r w:rsidR="00021098">
        <w:rPr>
          <w:rFonts w:ascii="Verdana" w:hAnsi="Verdana"/>
        </w:rPr>
        <w:t xml:space="preserve"> να διατηρήσουν </w:t>
      </w:r>
      <w:r>
        <w:rPr>
          <w:rFonts w:ascii="Verdana" w:hAnsi="Verdana"/>
        </w:rPr>
        <w:t xml:space="preserve">τη διακριτική τους ευχέρεια ως προς </w:t>
      </w:r>
      <w:r w:rsidR="00021098">
        <w:rPr>
          <w:rFonts w:ascii="Verdana" w:hAnsi="Verdana"/>
        </w:rPr>
        <w:t xml:space="preserve">το βαθμό προστασίας </w:t>
      </w:r>
      <w:r w:rsidR="00844977">
        <w:rPr>
          <w:rFonts w:ascii="Verdana" w:hAnsi="Verdana"/>
        </w:rPr>
        <w:t xml:space="preserve">του δημοσίου συμφέροντος (αφού ο επιθυμητός βαθμός </w:t>
      </w:r>
      <w:r w:rsidR="006A0687">
        <w:rPr>
          <w:rFonts w:ascii="Verdana" w:hAnsi="Verdana"/>
        </w:rPr>
        <w:t xml:space="preserve">προστασίας </w:t>
      </w:r>
      <w:r w:rsidR="00844977">
        <w:rPr>
          <w:rFonts w:ascii="Verdana" w:hAnsi="Verdana"/>
        </w:rPr>
        <w:t>ενδέχεται να διαφέρει από κράτος σε κράτος).</w:t>
      </w:r>
    </w:p>
    <w:p w14:paraId="0ED8C0C3" w14:textId="7489D0D7" w:rsidR="00844977" w:rsidRDefault="00844977" w:rsidP="00602FA7">
      <w:pPr>
        <w:spacing w:after="240" w:line="288" w:lineRule="auto"/>
        <w:jc w:val="both"/>
        <w:rPr>
          <w:rFonts w:ascii="Verdana" w:hAnsi="Verdana"/>
        </w:rPr>
      </w:pPr>
      <w:r>
        <w:rPr>
          <w:rFonts w:ascii="Verdana" w:hAnsi="Verdana"/>
        </w:rPr>
        <w:t xml:space="preserve">(γ) εν όψει του βάρους απόδειξης που </w:t>
      </w:r>
      <w:r w:rsidR="00182E47">
        <w:rPr>
          <w:rFonts w:ascii="Verdana" w:hAnsi="Verdana"/>
        </w:rPr>
        <w:t>φέρει</w:t>
      </w:r>
      <w:r>
        <w:rPr>
          <w:rFonts w:ascii="Verdana" w:hAnsi="Verdana"/>
        </w:rPr>
        <w:t xml:space="preserve"> το </w:t>
      </w:r>
      <w:r w:rsidR="006A0687">
        <w:rPr>
          <w:rFonts w:ascii="Verdana" w:hAnsi="Verdana"/>
        </w:rPr>
        <w:t xml:space="preserve">ΚΜ </w:t>
      </w:r>
      <w:r>
        <w:rPr>
          <w:rFonts w:ascii="Verdana" w:hAnsi="Verdana"/>
        </w:rPr>
        <w:t xml:space="preserve">κατά την θέσπιση περιορισμών, </w:t>
      </w:r>
      <w:r w:rsidR="006A0687">
        <w:rPr>
          <w:rFonts w:ascii="Verdana" w:hAnsi="Verdana"/>
        </w:rPr>
        <w:t xml:space="preserve">να τεκμηριώνει </w:t>
      </w:r>
      <w:r w:rsidR="00437EBD">
        <w:rPr>
          <w:rFonts w:ascii="Verdana" w:hAnsi="Verdana"/>
        </w:rPr>
        <w:t xml:space="preserve">με ποιοτικά και ποσοτικά </w:t>
      </w:r>
      <w:r>
        <w:rPr>
          <w:rFonts w:ascii="Verdana" w:hAnsi="Verdana"/>
        </w:rPr>
        <w:t>στοιχεί</w:t>
      </w:r>
      <w:r w:rsidR="00437EBD">
        <w:rPr>
          <w:rFonts w:ascii="Verdana" w:hAnsi="Verdana"/>
        </w:rPr>
        <w:t>α</w:t>
      </w:r>
      <w:r>
        <w:rPr>
          <w:rFonts w:ascii="Verdana" w:hAnsi="Verdana"/>
        </w:rPr>
        <w:t xml:space="preserve"> </w:t>
      </w:r>
      <w:r w:rsidR="006A0687">
        <w:rPr>
          <w:rFonts w:ascii="Verdana" w:hAnsi="Verdana"/>
        </w:rPr>
        <w:t xml:space="preserve">την </w:t>
      </w:r>
      <w:proofErr w:type="spellStart"/>
      <w:r w:rsidR="006A0687">
        <w:rPr>
          <w:rFonts w:ascii="Verdana" w:hAnsi="Verdana"/>
        </w:rPr>
        <w:t>καταλληλότητα</w:t>
      </w:r>
      <w:proofErr w:type="spellEnd"/>
      <w:r w:rsidR="006A0687">
        <w:rPr>
          <w:rFonts w:ascii="Verdana" w:hAnsi="Verdana"/>
        </w:rPr>
        <w:t xml:space="preserve"> και </w:t>
      </w:r>
      <w:r>
        <w:rPr>
          <w:rFonts w:ascii="Verdana" w:hAnsi="Verdana"/>
        </w:rPr>
        <w:t xml:space="preserve">αναγκαιότητα </w:t>
      </w:r>
      <w:r w:rsidR="00182E47">
        <w:rPr>
          <w:rFonts w:ascii="Verdana" w:hAnsi="Verdana"/>
        </w:rPr>
        <w:t>των ρυθμίσεων</w:t>
      </w:r>
      <w:r>
        <w:rPr>
          <w:rFonts w:ascii="Verdana" w:hAnsi="Verdana"/>
        </w:rPr>
        <w:t xml:space="preserve">, δεν θα πρέπει να κρίνεται ασύμβατο με την Οδηγία τυχόν μέτρο (ιδίως προληπτικό) μόνο και μόνο επειδή δεν είναι δυνατόν να </w:t>
      </w:r>
      <w:r w:rsidR="006A0687">
        <w:rPr>
          <w:rFonts w:ascii="Verdana" w:hAnsi="Verdana"/>
        </w:rPr>
        <w:t>αιτιολογηθεί</w:t>
      </w:r>
      <w:r w:rsidR="00437EBD">
        <w:rPr>
          <w:rFonts w:ascii="Verdana" w:hAnsi="Verdana"/>
        </w:rPr>
        <w:t xml:space="preserve"> ποιοτικά/ποσοτικά </w:t>
      </w:r>
      <w:r>
        <w:rPr>
          <w:rFonts w:ascii="Verdana" w:hAnsi="Verdana"/>
        </w:rPr>
        <w:t xml:space="preserve">η αναγκαιότητά του. Εξ άλλου δεν θα πρέπει το βάρος απόδειξης να είναι τόσο </w:t>
      </w:r>
      <w:r w:rsidR="006A0687">
        <w:rPr>
          <w:rFonts w:ascii="Verdana" w:hAnsi="Verdana"/>
        </w:rPr>
        <w:t>επαχθές</w:t>
      </w:r>
      <w:r w:rsidR="00437EBD">
        <w:rPr>
          <w:rFonts w:ascii="Verdana" w:hAnsi="Verdana"/>
        </w:rPr>
        <w:t>,</w:t>
      </w:r>
      <w:r>
        <w:rPr>
          <w:rFonts w:ascii="Verdana" w:hAnsi="Verdana"/>
        </w:rPr>
        <w:t xml:space="preserve"> ώστε το </w:t>
      </w:r>
      <w:r w:rsidR="006A0687">
        <w:rPr>
          <w:rFonts w:ascii="Verdana" w:hAnsi="Verdana"/>
        </w:rPr>
        <w:t xml:space="preserve">ΚΜ </w:t>
      </w:r>
      <w:r>
        <w:rPr>
          <w:rFonts w:ascii="Verdana" w:hAnsi="Verdana"/>
        </w:rPr>
        <w:t xml:space="preserve">να </w:t>
      </w:r>
      <w:r w:rsidR="00182E47">
        <w:rPr>
          <w:rFonts w:ascii="Verdana" w:hAnsi="Verdana"/>
        </w:rPr>
        <w:t xml:space="preserve">υποχρεούται </w:t>
      </w:r>
      <w:r>
        <w:rPr>
          <w:rFonts w:ascii="Verdana" w:hAnsi="Verdana"/>
        </w:rPr>
        <w:t>να αποδείξει θετικά ότι δεν υπάρχ</w:t>
      </w:r>
      <w:r w:rsidR="00735D12">
        <w:rPr>
          <w:rFonts w:ascii="Verdana" w:hAnsi="Verdana"/>
        </w:rPr>
        <w:t xml:space="preserve">ει καμία άλλη εναλλακτική </w:t>
      </w:r>
      <w:r>
        <w:rPr>
          <w:rFonts w:ascii="Verdana" w:hAnsi="Verdana"/>
        </w:rPr>
        <w:t>για την επίτευξη του επιδιωκόμενου συμφέροντος</w:t>
      </w:r>
      <w:r w:rsidR="009235C8">
        <w:rPr>
          <w:rFonts w:ascii="Verdana" w:hAnsi="Verdana"/>
        </w:rPr>
        <w:t>.</w:t>
      </w:r>
    </w:p>
    <w:p w14:paraId="50A79576" w14:textId="0BD6351A" w:rsidR="009235C8" w:rsidRDefault="009235C8" w:rsidP="00602FA7">
      <w:pPr>
        <w:spacing w:after="240" w:line="288" w:lineRule="auto"/>
        <w:jc w:val="both"/>
        <w:rPr>
          <w:rFonts w:ascii="Verdana" w:hAnsi="Verdana"/>
        </w:rPr>
      </w:pPr>
      <w:r>
        <w:rPr>
          <w:rFonts w:ascii="Verdana" w:hAnsi="Verdana"/>
        </w:rPr>
        <w:t xml:space="preserve">(δ) η </w:t>
      </w:r>
      <w:r w:rsidR="000D42F3">
        <w:rPr>
          <w:rFonts w:ascii="Verdana" w:hAnsi="Verdana"/>
        </w:rPr>
        <w:t xml:space="preserve">δυνατότητα </w:t>
      </w:r>
      <w:r w:rsidR="006A0687">
        <w:rPr>
          <w:rFonts w:ascii="Verdana" w:hAnsi="Verdana"/>
        </w:rPr>
        <w:t xml:space="preserve">ανάθεσης οικονομοτεχνικών μελετών </w:t>
      </w:r>
      <w:r w:rsidR="000D42F3">
        <w:rPr>
          <w:rFonts w:ascii="Verdana" w:hAnsi="Verdana"/>
        </w:rPr>
        <w:t xml:space="preserve">σε τρίτα μέρη (ανεξάρτητους εμπειρογνώμονες) για την υποβοήθηση της νομοθετικής διαδικασίας και η επιλογή </w:t>
      </w:r>
      <w:r w:rsidR="006A0687">
        <w:rPr>
          <w:rFonts w:ascii="Verdana" w:hAnsi="Verdana"/>
        </w:rPr>
        <w:t xml:space="preserve">των αναδόχων </w:t>
      </w:r>
      <w:r w:rsidR="000D42F3">
        <w:rPr>
          <w:rFonts w:ascii="Verdana" w:hAnsi="Verdana"/>
        </w:rPr>
        <w:t>θα πρέπει να εναπόκειται στη διακριτική ευχέρεια των κρατών-μελών</w:t>
      </w:r>
    </w:p>
    <w:p w14:paraId="17641A06" w14:textId="26D911AB" w:rsidR="000D42F3" w:rsidRDefault="000D42F3" w:rsidP="00602FA7">
      <w:pPr>
        <w:spacing w:after="240" w:line="288" w:lineRule="auto"/>
        <w:jc w:val="both"/>
        <w:rPr>
          <w:rFonts w:ascii="Verdana" w:hAnsi="Verdana"/>
        </w:rPr>
      </w:pPr>
      <w:r>
        <w:rPr>
          <w:rFonts w:ascii="Verdana" w:hAnsi="Verdana"/>
        </w:rPr>
        <w:t xml:space="preserve">(ε) οι επαγγελματικές ενώσεις εκφράζουν επίσης ανησυχία </w:t>
      </w:r>
      <w:r w:rsidR="00312523">
        <w:rPr>
          <w:rFonts w:ascii="Verdana" w:hAnsi="Verdana"/>
        </w:rPr>
        <w:t xml:space="preserve">για το </w:t>
      </w:r>
      <w:r w:rsidR="0018743A">
        <w:rPr>
          <w:rFonts w:ascii="Verdana" w:hAnsi="Verdana"/>
        </w:rPr>
        <w:t xml:space="preserve">ότι περιορίζεται ανεπίτρεπτα η διακριτική ευχέρεια των </w:t>
      </w:r>
      <w:r w:rsidR="007908F6">
        <w:rPr>
          <w:rFonts w:ascii="Verdana" w:hAnsi="Verdana"/>
        </w:rPr>
        <w:t>ΚΜ</w:t>
      </w:r>
      <w:r w:rsidR="0018743A">
        <w:rPr>
          <w:rFonts w:ascii="Verdana" w:hAnsi="Verdana"/>
        </w:rPr>
        <w:t xml:space="preserve">, </w:t>
      </w:r>
      <w:r w:rsidR="007908F6">
        <w:rPr>
          <w:rFonts w:ascii="Verdana" w:hAnsi="Verdana"/>
        </w:rPr>
        <w:t xml:space="preserve">εν </w:t>
      </w:r>
      <w:r w:rsidR="0018743A">
        <w:rPr>
          <w:rFonts w:ascii="Verdana" w:hAnsi="Verdana"/>
        </w:rPr>
        <w:t xml:space="preserve">όψει της </w:t>
      </w:r>
      <w:r w:rsidR="0018743A">
        <w:rPr>
          <w:rFonts w:ascii="Verdana" w:hAnsi="Verdana"/>
        </w:rPr>
        <w:lastRenderedPageBreak/>
        <w:t xml:space="preserve">εξαντλητικής απαρίθμησης των περιορισμών, για τους οποίους κατ’ ά. 7.3 </w:t>
      </w:r>
      <w:r w:rsidR="007908F6">
        <w:rPr>
          <w:rFonts w:ascii="Verdana" w:hAnsi="Verdana"/>
        </w:rPr>
        <w:t xml:space="preserve">της Οδηγίας </w:t>
      </w:r>
      <w:r w:rsidR="0018743A">
        <w:rPr>
          <w:rFonts w:ascii="Verdana" w:hAnsi="Verdana"/>
        </w:rPr>
        <w:t xml:space="preserve">πρέπει να εξετάζεται και το συνδυαστικό αποτέλεσμα (αποκλειστικές δραστηριότητες, υποχρέωση συνεχούς επαγγελματικής εξέλιξης, δεοντολογικά κριτήρια, εγγραφή σε επαγγελματικές ενώσεις (επιμελητήρια), ποσοτικοί και γεωγραφικοί περιορισμοί, νομική οργάνωση, ασυμβίβαστα, ασφαλιστική κάλυψη, γλώσσα, ελάχιστες ή και μέγιστες αμοιβές, περιορισμοί διαφήμισης </w:t>
      </w:r>
      <w:proofErr w:type="spellStart"/>
      <w:r w:rsidR="0018743A">
        <w:rPr>
          <w:rFonts w:ascii="Verdana" w:hAnsi="Verdana"/>
        </w:rPr>
        <w:t>κλπ</w:t>
      </w:r>
      <w:proofErr w:type="spellEnd"/>
      <w:r w:rsidR="0018743A">
        <w:rPr>
          <w:rFonts w:ascii="Verdana" w:hAnsi="Verdana"/>
        </w:rPr>
        <w:t>)</w:t>
      </w:r>
      <w:r w:rsidR="003E12AD">
        <w:rPr>
          <w:rFonts w:ascii="Verdana" w:hAnsi="Verdana"/>
        </w:rPr>
        <w:t xml:space="preserve">. Λόγω της εξαιρετικά αυστηρής προσέγγισης της Οδηγίας και της εκτενούς ανάπτυξης των κριτηρίων για το επιτρεπτό των περιορισμών, </w:t>
      </w:r>
      <w:r w:rsidR="007908F6">
        <w:rPr>
          <w:rFonts w:ascii="Verdana" w:hAnsi="Verdana"/>
        </w:rPr>
        <w:t xml:space="preserve">ελλοχεύει ο κίνδυνος εκμηδένισης της </w:t>
      </w:r>
      <w:r w:rsidR="003E12AD">
        <w:rPr>
          <w:rFonts w:ascii="Verdana" w:hAnsi="Verdana"/>
        </w:rPr>
        <w:t>ελευθερία</w:t>
      </w:r>
      <w:r w:rsidR="007908F6">
        <w:rPr>
          <w:rFonts w:ascii="Verdana" w:hAnsi="Verdana"/>
        </w:rPr>
        <w:t>ς</w:t>
      </w:r>
      <w:r w:rsidR="003E12AD">
        <w:rPr>
          <w:rFonts w:ascii="Verdana" w:hAnsi="Verdana"/>
        </w:rPr>
        <w:t xml:space="preserve"> επιλογής του κρατικού νομοθέτη.</w:t>
      </w:r>
    </w:p>
    <w:p w14:paraId="2EC53906" w14:textId="6DCC930B" w:rsidR="004F4D73" w:rsidRPr="008D7EE2" w:rsidRDefault="000642DC" w:rsidP="00602FA7">
      <w:pPr>
        <w:spacing w:after="240" w:line="288" w:lineRule="auto"/>
        <w:jc w:val="both"/>
        <w:rPr>
          <w:rFonts w:ascii="Verdana" w:hAnsi="Verdana"/>
        </w:rPr>
      </w:pPr>
      <w:r>
        <w:rPr>
          <w:rFonts w:ascii="Verdana" w:hAnsi="Verdana"/>
        </w:rPr>
        <w:t xml:space="preserve">2.- Συζητήθηκε η συμμετοχή της </w:t>
      </w:r>
      <w:r>
        <w:rPr>
          <w:rFonts w:ascii="Verdana" w:hAnsi="Verdana"/>
          <w:lang w:val="en-US"/>
        </w:rPr>
        <w:t>CCBE</w:t>
      </w:r>
      <w:r>
        <w:rPr>
          <w:rFonts w:ascii="Verdana" w:hAnsi="Verdana"/>
        </w:rPr>
        <w:t xml:space="preserve"> στην ημερίδα που οργανώνει στις 27.11.2018 ο Τομέας Ελευθέρων Επαγγελμάτων της Οικονομικής και Κοινωνικής Επιτροπής της ΕΕ</w:t>
      </w:r>
      <w:r w:rsidR="0034449A">
        <w:rPr>
          <w:rFonts w:ascii="Verdana" w:hAnsi="Verdana"/>
        </w:rPr>
        <w:t xml:space="preserve"> </w:t>
      </w:r>
      <w:r w:rsidR="00EC761C">
        <w:rPr>
          <w:rFonts w:ascii="Verdana" w:hAnsi="Verdana"/>
        </w:rPr>
        <w:t>με θέμα «</w:t>
      </w:r>
      <w:r w:rsidR="00EC761C" w:rsidRPr="00EC761C">
        <w:rPr>
          <w:rFonts w:ascii="Verdana" w:hAnsi="Verdana"/>
          <w:b/>
        </w:rPr>
        <w:t>Βιώσιμη Μετάλλαξη των Χαρακτηριστικών Ελευθέρων Επαγγελμάτων</w:t>
      </w:r>
      <w:r w:rsidR="00EC761C">
        <w:rPr>
          <w:rFonts w:ascii="Verdana" w:hAnsi="Verdana"/>
        </w:rPr>
        <w:t xml:space="preserve">» </w:t>
      </w:r>
      <w:r w:rsidR="0034449A">
        <w:rPr>
          <w:rFonts w:ascii="Verdana" w:hAnsi="Verdana"/>
        </w:rPr>
        <w:t xml:space="preserve">και </w:t>
      </w:r>
      <w:r w:rsidR="003A090C">
        <w:rPr>
          <w:rFonts w:ascii="Verdana" w:hAnsi="Verdana"/>
        </w:rPr>
        <w:t xml:space="preserve">κρίθηκε σκόπιμη </w:t>
      </w:r>
      <w:r w:rsidR="0034449A">
        <w:rPr>
          <w:rFonts w:ascii="Verdana" w:hAnsi="Verdana"/>
        </w:rPr>
        <w:t xml:space="preserve">η συνεργασία </w:t>
      </w:r>
      <w:r w:rsidR="00D87CC6">
        <w:rPr>
          <w:rFonts w:ascii="Verdana" w:hAnsi="Verdana"/>
        </w:rPr>
        <w:t>με άλλες επαγγελματικές ενώσεις για την σύνταξη Δήλωσης για την «Έννοια του Ελεύθερου Επαγγέλματος σε Ευρωπαϊκό Επίπεδο</w:t>
      </w:r>
      <w:r w:rsidR="006A5597">
        <w:rPr>
          <w:rFonts w:ascii="Verdana" w:hAnsi="Verdana"/>
        </w:rPr>
        <w:t>»</w:t>
      </w:r>
      <w:r w:rsidR="008D7EE2">
        <w:rPr>
          <w:rFonts w:ascii="Verdana" w:hAnsi="Verdana"/>
        </w:rPr>
        <w:t xml:space="preserve"> με βασικούς άξονες την </w:t>
      </w:r>
      <w:proofErr w:type="spellStart"/>
      <w:r w:rsidR="008D7EE2">
        <w:rPr>
          <w:rFonts w:ascii="Verdana" w:hAnsi="Verdana"/>
        </w:rPr>
        <w:t>καλπάζουσα</w:t>
      </w:r>
      <w:proofErr w:type="spellEnd"/>
      <w:r w:rsidR="008D7EE2">
        <w:rPr>
          <w:rFonts w:ascii="Verdana" w:hAnsi="Verdana"/>
        </w:rPr>
        <w:t xml:space="preserve"> </w:t>
      </w:r>
      <w:proofErr w:type="spellStart"/>
      <w:r w:rsidR="008D7EE2">
        <w:rPr>
          <w:rFonts w:ascii="Verdana" w:hAnsi="Verdana"/>
        </w:rPr>
        <w:t>ψηφιοποίηση</w:t>
      </w:r>
      <w:proofErr w:type="spellEnd"/>
      <w:r w:rsidR="008D7EE2">
        <w:rPr>
          <w:rFonts w:ascii="Verdana" w:hAnsi="Verdana"/>
        </w:rPr>
        <w:t xml:space="preserve"> (τεχνητή νοημοσύνη</w:t>
      </w:r>
      <w:r w:rsidR="003E12AD">
        <w:rPr>
          <w:rFonts w:ascii="Verdana" w:hAnsi="Verdana"/>
        </w:rPr>
        <w:t xml:space="preserve"> και </w:t>
      </w:r>
      <w:r w:rsidR="003E12AD">
        <w:rPr>
          <w:rFonts w:ascii="Verdana" w:hAnsi="Verdana"/>
          <w:lang w:val="en-US"/>
        </w:rPr>
        <w:t>astroturfing</w:t>
      </w:r>
      <w:r w:rsidR="008D7EE2">
        <w:rPr>
          <w:rFonts w:ascii="Verdana" w:hAnsi="Verdana"/>
        </w:rPr>
        <w:t>)</w:t>
      </w:r>
      <w:r w:rsidR="003E12AD">
        <w:rPr>
          <w:rFonts w:ascii="Verdana" w:hAnsi="Verdana"/>
        </w:rPr>
        <w:t xml:space="preserve">, </w:t>
      </w:r>
      <w:r w:rsidR="008D7EE2">
        <w:rPr>
          <w:rFonts w:ascii="Verdana" w:hAnsi="Verdana"/>
        </w:rPr>
        <w:t xml:space="preserve">το ιδιάζον καθεστώς </w:t>
      </w:r>
      <w:r w:rsidR="00EC761C">
        <w:rPr>
          <w:rFonts w:ascii="Verdana" w:hAnsi="Verdana"/>
        </w:rPr>
        <w:t xml:space="preserve">των </w:t>
      </w:r>
      <w:r w:rsidR="008D7EE2">
        <w:rPr>
          <w:rFonts w:ascii="Verdana" w:hAnsi="Verdana"/>
        </w:rPr>
        <w:t>επαγγελματικών εταιρειών</w:t>
      </w:r>
      <w:r w:rsidR="00EC761C">
        <w:rPr>
          <w:rFonts w:ascii="Verdana" w:hAnsi="Verdana"/>
        </w:rPr>
        <w:t xml:space="preserve"> και τον περιορισμό των </w:t>
      </w:r>
      <w:proofErr w:type="spellStart"/>
      <w:r w:rsidR="00EC761C">
        <w:rPr>
          <w:rFonts w:ascii="Verdana" w:hAnsi="Verdana"/>
        </w:rPr>
        <w:t>πολυεπαγγελματικών</w:t>
      </w:r>
      <w:proofErr w:type="spellEnd"/>
      <w:r w:rsidR="00EC761C">
        <w:rPr>
          <w:rFonts w:ascii="Verdana" w:hAnsi="Verdana"/>
        </w:rPr>
        <w:t xml:space="preserve"> εταιρειών</w:t>
      </w:r>
      <w:r w:rsidR="003E12AD">
        <w:rPr>
          <w:rFonts w:ascii="Verdana" w:hAnsi="Verdana"/>
        </w:rPr>
        <w:t>, τον προστατευτισμό</w:t>
      </w:r>
      <w:r w:rsidR="00EC761C">
        <w:rPr>
          <w:rFonts w:ascii="Verdana" w:hAnsi="Verdana"/>
        </w:rPr>
        <w:t xml:space="preserve"> σε συνδυασμό με το δημόσιο συμφέρον κλπ.</w:t>
      </w:r>
    </w:p>
    <w:p w14:paraId="78B494C8" w14:textId="595F2117" w:rsidR="000E63A7" w:rsidRPr="006A5597" w:rsidRDefault="000E63A7" w:rsidP="00602FA7">
      <w:pPr>
        <w:spacing w:after="240" w:line="288" w:lineRule="auto"/>
        <w:jc w:val="both"/>
        <w:rPr>
          <w:rFonts w:ascii="Verdana" w:hAnsi="Verdana"/>
        </w:rPr>
      </w:pPr>
      <w:r>
        <w:rPr>
          <w:rFonts w:ascii="Verdana" w:hAnsi="Verdana"/>
        </w:rPr>
        <w:t xml:space="preserve">3.- </w:t>
      </w:r>
      <w:r w:rsidR="00211285">
        <w:rPr>
          <w:rFonts w:ascii="Verdana" w:hAnsi="Verdana"/>
        </w:rPr>
        <w:t xml:space="preserve">Συζητήθηκε η συνδρομή της </w:t>
      </w:r>
      <w:r w:rsidR="00211285">
        <w:rPr>
          <w:rFonts w:ascii="Verdana" w:hAnsi="Verdana"/>
          <w:lang w:val="en-US"/>
        </w:rPr>
        <w:t>CCBE</w:t>
      </w:r>
      <w:r w:rsidR="00211285" w:rsidRPr="00211285">
        <w:rPr>
          <w:rFonts w:ascii="Verdana" w:hAnsi="Verdana"/>
        </w:rPr>
        <w:t xml:space="preserve"> </w:t>
      </w:r>
      <w:r>
        <w:rPr>
          <w:rFonts w:ascii="Verdana" w:hAnsi="Verdana"/>
        </w:rPr>
        <w:t xml:space="preserve">στην </w:t>
      </w:r>
      <w:r w:rsidR="00211285">
        <w:rPr>
          <w:rFonts w:ascii="Verdana" w:hAnsi="Verdana"/>
        </w:rPr>
        <w:t xml:space="preserve">προεργασία για την </w:t>
      </w:r>
      <w:r>
        <w:rPr>
          <w:rFonts w:ascii="Verdana" w:hAnsi="Verdana"/>
        </w:rPr>
        <w:t xml:space="preserve">μελέτη της Επιτροπής ΕΕ </w:t>
      </w:r>
      <w:r w:rsidR="00211285">
        <w:rPr>
          <w:rFonts w:ascii="Verdana" w:hAnsi="Verdana"/>
        </w:rPr>
        <w:t xml:space="preserve">με θέμα </w:t>
      </w:r>
      <w:r>
        <w:rPr>
          <w:rFonts w:ascii="Verdana" w:hAnsi="Verdana"/>
        </w:rPr>
        <w:t>«</w:t>
      </w:r>
      <w:proofErr w:type="spellStart"/>
      <w:r w:rsidRPr="00EC761C">
        <w:rPr>
          <w:rFonts w:ascii="Verdana" w:hAnsi="Verdana"/>
          <w:b/>
        </w:rPr>
        <w:t>Συμπεριφορική</w:t>
      </w:r>
      <w:proofErr w:type="spellEnd"/>
      <w:r w:rsidRPr="00EC761C">
        <w:rPr>
          <w:rFonts w:ascii="Verdana" w:hAnsi="Verdana"/>
          <w:b/>
        </w:rPr>
        <w:t xml:space="preserve"> οικονομική ανάλυση των επαγγελματικών κινήτρων στα επαγγέλματα παροχής υπηρεσιών</w:t>
      </w:r>
      <w:r>
        <w:rPr>
          <w:rFonts w:ascii="Verdana" w:hAnsi="Verdana"/>
        </w:rPr>
        <w:t>»</w:t>
      </w:r>
      <w:r w:rsidR="00211285">
        <w:rPr>
          <w:rFonts w:ascii="Verdana" w:hAnsi="Verdana"/>
        </w:rPr>
        <w:t xml:space="preserve">, η οποία βρίσκεται στο στάδιο συγγραφής υποχρεώσεων </w:t>
      </w:r>
      <w:r w:rsidR="00211285" w:rsidRPr="00211285">
        <w:rPr>
          <w:rFonts w:ascii="Verdana" w:hAnsi="Verdana"/>
        </w:rPr>
        <w:t>(</w:t>
      </w:r>
      <w:r w:rsidR="00211285">
        <w:rPr>
          <w:rFonts w:ascii="Verdana" w:hAnsi="Verdana"/>
        </w:rPr>
        <w:t>θέματα προς ανάλυση) και θα ακολουθήσει δημοπράτηση για την εργολαβική ανάθεση.</w:t>
      </w:r>
    </w:p>
    <w:p w14:paraId="7A94095F" w14:textId="70A1F20A" w:rsidR="00FF47AA" w:rsidRDefault="007F2A15" w:rsidP="00602FA7">
      <w:pPr>
        <w:spacing w:after="240" w:line="288" w:lineRule="auto"/>
        <w:jc w:val="both"/>
        <w:rPr>
          <w:rFonts w:ascii="Verdana" w:hAnsi="Verdana"/>
        </w:rPr>
      </w:pPr>
      <w:r>
        <w:rPr>
          <w:rFonts w:ascii="Verdana" w:hAnsi="Verdana"/>
        </w:rPr>
        <w:t xml:space="preserve">4.- </w:t>
      </w:r>
      <w:r w:rsidR="00FF47AA" w:rsidRPr="00FF47AA">
        <w:rPr>
          <w:rFonts w:ascii="Verdana" w:hAnsi="Verdana"/>
          <w:b/>
        </w:rPr>
        <w:t>Λοιπές ενημερώσεις – τρέχοντα θέματα</w:t>
      </w:r>
    </w:p>
    <w:p w14:paraId="5BC8B383" w14:textId="77777777" w:rsidR="00FF47AA" w:rsidRPr="00967757" w:rsidRDefault="00FF47AA" w:rsidP="00967757">
      <w:pPr>
        <w:pStyle w:val="ListParagraph"/>
        <w:numPr>
          <w:ilvl w:val="0"/>
          <w:numId w:val="3"/>
        </w:numPr>
        <w:spacing w:after="240" w:line="288" w:lineRule="auto"/>
        <w:ind w:left="714" w:hanging="357"/>
        <w:contextualSpacing w:val="0"/>
        <w:jc w:val="both"/>
        <w:rPr>
          <w:rFonts w:ascii="Verdana" w:hAnsi="Verdana"/>
        </w:rPr>
      </w:pPr>
      <w:r w:rsidRPr="00967757">
        <w:rPr>
          <w:rFonts w:ascii="Verdana" w:hAnsi="Verdana"/>
        </w:rPr>
        <w:t>Σ</w:t>
      </w:r>
      <w:r w:rsidR="007F2A15" w:rsidRPr="00967757">
        <w:rPr>
          <w:rFonts w:ascii="Verdana" w:hAnsi="Verdana"/>
        </w:rPr>
        <w:t xml:space="preserve">τις 13.07.2018 ολοκληρώθηκε το εξάμηνο παρατήρησης </w:t>
      </w:r>
      <w:r w:rsidR="00463652" w:rsidRPr="00967757">
        <w:rPr>
          <w:rFonts w:ascii="Verdana" w:hAnsi="Verdana"/>
        </w:rPr>
        <w:t xml:space="preserve">της </w:t>
      </w:r>
      <w:r w:rsidR="007F2A15" w:rsidRPr="00967757">
        <w:rPr>
          <w:rFonts w:ascii="Verdana" w:hAnsi="Verdana"/>
        </w:rPr>
        <w:t>οικονομικ</w:t>
      </w:r>
      <w:r w:rsidR="00463652" w:rsidRPr="00967757">
        <w:rPr>
          <w:rFonts w:ascii="Verdana" w:hAnsi="Verdana"/>
        </w:rPr>
        <w:t>ής</w:t>
      </w:r>
      <w:r w:rsidR="007F2A15" w:rsidRPr="00967757">
        <w:rPr>
          <w:rFonts w:ascii="Verdana" w:hAnsi="Verdana"/>
        </w:rPr>
        <w:t>, εργασιακ</w:t>
      </w:r>
      <w:r w:rsidR="00463652" w:rsidRPr="00967757">
        <w:rPr>
          <w:rFonts w:ascii="Verdana" w:hAnsi="Verdana"/>
        </w:rPr>
        <w:t>ής</w:t>
      </w:r>
      <w:r w:rsidR="007F2A15" w:rsidRPr="00967757">
        <w:rPr>
          <w:rFonts w:ascii="Verdana" w:hAnsi="Verdana"/>
        </w:rPr>
        <w:t xml:space="preserve"> και </w:t>
      </w:r>
      <w:r w:rsidR="00463652" w:rsidRPr="00967757">
        <w:rPr>
          <w:rFonts w:ascii="Verdana" w:hAnsi="Verdana"/>
        </w:rPr>
        <w:t xml:space="preserve">δημοσιονομικής πολιτικής των επιμέρους κρατών-μελών και το Συμβούλιο ΕΕ δημοσίευσε συστάσεις για κάθε κράτος-μέλος, που αφορούν </w:t>
      </w:r>
      <w:r w:rsidR="00AA6E70" w:rsidRPr="00967757">
        <w:rPr>
          <w:rFonts w:ascii="Verdana" w:hAnsi="Verdana"/>
        </w:rPr>
        <w:t xml:space="preserve">μεταξύ άλλων </w:t>
      </w:r>
      <w:r w:rsidR="00463652" w:rsidRPr="00967757">
        <w:rPr>
          <w:rFonts w:ascii="Verdana" w:hAnsi="Verdana"/>
        </w:rPr>
        <w:t xml:space="preserve">το δικηγορικό επάγγελμα και την απονομή δικαιοσύνης </w:t>
      </w:r>
      <w:r w:rsidRPr="00967757">
        <w:rPr>
          <w:rFonts w:ascii="Verdana" w:hAnsi="Verdana"/>
        </w:rPr>
        <w:t>(</w:t>
      </w:r>
      <w:r w:rsidR="00463652" w:rsidRPr="00967757">
        <w:rPr>
          <w:rFonts w:ascii="Verdana" w:hAnsi="Verdana"/>
        </w:rPr>
        <w:t>για την Ελλάδα δεν δημοσιεύθηκαν συστάσεις, δεδομένου ότι βρίσκεται σε γενικότερη επιτήρηση λόγω του προγράμματος δημοσιονομικής προσαρμογής</w:t>
      </w:r>
      <w:r w:rsidRPr="00967757">
        <w:rPr>
          <w:rFonts w:ascii="Verdana" w:hAnsi="Verdana"/>
        </w:rPr>
        <w:t>)</w:t>
      </w:r>
      <w:r w:rsidR="00463652" w:rsidRPr="00967757">
        <w:rPr>
          <w:rFonts w:ascii="Verdana" w:hAnsi="Verdana"/>
        </w:rPr>
        <w:t xml:space="preserve">. </w:t>
      </w:r>
    </w:p>
    <w:p w14:paraId="18F6251C" w14:textId="354E48D2" w:rsidR="00FF47AA" w:rsidRPr="00967757" w:rsidRDefault="00FF47AA" w:rsidP="00967757">
      <w:pPr>
        <w:pStyle w:val="ListParagraph"/>
        <w:numPr>
          <w:ilvl w:val="0"/>
          <w:numId w:val="3"/>
        </w:numPr>
        <w:spacing w:after="240" w:line="288" w:lineRule="auto"/>
        <w:ind w:left="714" w:hanging="357"/>
        <w:contextualSpacing w:val="0"/>
        <w:jc w:val="both"/>
        <w:rPr>
          <w:rFonts w:ascii="Verdana" w:hAnsi="Verdana"/>
        </w:rPr>
      </w:pPr>
      <w:r w:rsidRPr="00967757">
        <w:rPr>
          <w:rFonts w:ascii="Verdana" w:hAnsi="Verdana"/>
        </w:rPr>
        <w:t>Η</w:t>
      </w:r>
      <w:r w:rsidR="006A302E" w:rsidRPr="00967757">
        <w:rPr>
          <w:rFonts w:ascii="Verdana" w:hAnsi="Verdana"/>
        </w:rPr>
        <w:t xml:space="preserve"> Επιτροπή ΕΕ αποφάσισε να αποστείλει επιστολές συμμόρφωσης </w:t>
      </w:r>
      <w:r w:rsidR="00A47B4D" w:rsidRPr="00967757">
        <w:rPr>
          <w:rFonts w:ascii="Verdana" w:hAnsi="Verdana"/>
        </w:rPr>
        <w:t xml:space="preserve">σε 27 </w:t>
      </w:r>
      <w:r w:rsidR="00AA6E70" w:rsidRPr="00967757">
        <w:rPr>
          <w:rFonts w:ascii="Verdana" w:hAnsi="Verdana"/>
        </w:rPr>
        <w:t xml:space="preserve">ΚΜ </w:t>
      </w:r>
      <w:r w:rsidR="00A47B4D" w:rsidRPr="00967757">
        <w:rPr>
          <w:rFonts w:ascii="Verdana" w:hAnsi="Verdana"/>
        </w:rPr>
        <w:t>(</w:t>
      </w:r>
      <w:r w:rsidR="00AA6E70" w:rsidRPr="00967757">
        <w:rPr>
          <w:rFonts w:ascii="Verdana" w:hAnsi="Verdana"/>
        </w:rPr>
        <w:t xml:space="preserve">ήτοι όλων </w:t>
      </w:r>
      <w:r w:rsidR="00A47B4D" w:rsidRPr="00967757">
        <w:rPr>
          <w:rFonts w:ascii="Verdana" w:hAnsi="Verdana"/>
        </w:rPr>
        <w:t xml:space="preserve">πλην </w:t>
      </w:r>
      <w:r w:rsidR="00AA6E70" w:rsidRPr="00967757">
        <w:rPr>
          <w:rFonts w:ascii="Verdana" w:hAnsi="Verdana"/>
        </w:rPr>
        <w:t xml:space="preserve">της </w:t>
      </w:r>
      <w:r w:rsidR="00A47B4D" w:rsidRPr="00967757">
        <w:rPr>
          <w:rFonts w:ascii="Verdana" w:hAnsi="Verdana"/>
        </w:rPr>
        <w:t xml:space="preserve">Λιθουανίας) για την πλημμελή εφαρμογή των κοινοτικών κανόνων </w:t>
      </w:r>
      <w:r w:rsidRPr="00967757">
        <w:rPr>
          <w:rFonts w:ascii="Verdana" w:hAnsi="Verdana"/>
        </w:rPr>
        <w:t xml:space="preserve">όσον αφορά </w:t>
      </w:r>
      <w:r w:rsidR="00A47B4D" w:rsidRPr="00967757">
        <w:rPr>
          <w:rFonts w:ascii="Verdana" w:hAnsi="Verdana"/>
        </w:rPr>
        <w:t xml:space="preserve">την απρόσκοπτη αναγνώριση επαγγελματικών τίτλων και τη διαφάνεια και αναλογικότητα των υφιστάμενων περιορισμών πρόσβασης. </w:t>
      </w:r>
    </w:p>
    <w:p w14:paraId="5EBB7CE8" w14:textId="46088D6E" w:rsidR="00FF47AA" w:rsidRPr="00967757" w:rsidRDefault="00A47B4D" w:rsidP="00967757">
      <w:pPr>
        <w:pStyle w:val="ListParagraph"/>
        <w:numPr>
          <w:ilvl w:val="0"/>
          <w:numId w:val="3"/>
        </w:numPr>
        <w:spacing w:after="240" w:line="288" w:lineRule="auto"/>
        <w:ind w:left="714" w:hanging="357"/>
        <w:contextualSpacing w:val="0"/>
        <w:jc w:val="both"/>
        <w:rPr>
          <w:rFonts w:ascii="Verdana" w:hAnsi="Verdana"/>
        </w:rPr>
      </w:pPr>
      <w:r w:rsidRPr="00967757">
        <w:rPr>
          <w:rFonts w:ascii="Verdana" w:hAnsi="Verdana"/>
        </w:rPr>
        <w:lastRenderedPageBreak/>
        <w:t xml:space="preserve">Αναμένεται η ολοκλήρωση της μελέτης </w:t>
      </w:r>
      <w:r w:rsidR="00B70FB0" w:rsidRPr="00967757">
        <w:rPr>
          <w:rFonts w:ascii="Verdana" w:hAnsi="Verdana"/>
        </w:rPr>
        <w:t xml:space="preserve">που ανέθεσε η Επιτροπή ΕΕ </w:t>
      </w:r>
      <w:r w:rsidRPr="00967757">
        <w:rPr>
          <w:rFonts w:ascii="Verdana" w:hAnsi="Verdana"/>
        </w:rPr>
        <w:t xml:space="preserve">για τις επιπτώσεις της απελευθέρωσης της πρόσβασης σε συγκεκριμένους επαγγελματικούς τομείς στην ποιότητα των </w:t>
      </w:r>
      <w:proofErr w:type="spellStart"/>
      <w:r w:rsidRPr="00967757">
        <w:rPr>
          <w:rFonts w:ascii="Verdana" w:hAnsi="Verdana"/>
        </w:rPr>
        <w:t>παρεχομένων</w:t>
      </w:r>
      <w:proofErr w:type="spellEnd"/>
      <w:r w:rsidRPr="00967757">
        <w:rPr>
          <w:rFonts w:ascii="Verdana" w:hAnsi="Verdana"/>
        </w:rPr>
        <w:t xml:space="preserve"> υπηρεσιών.</w:t>
      </w:r>
      <w:r w:rsidR="00F7095F" w:rsidRPr="00967757">
        <w:rPr>
          <w:rFonts w:ascii="Verdana" w:hAnsi="Verdana"/>
        </w:rPr>
        <w:t xml:space="preserve"> </w:t>
      </w:r>
    </w:p>
    <w:p w14:paraId="60C54890" w14:textId="77777777" w:rsidR="00FF47AA" w:rsidRPr="00967757" w:rsidRDefault="00F7095F" w:rsidP="00967757">
      <w:pPr>
        <w:pStyle w:val="ListParagraph"/>
        <w:numPr>
          <w:ilvl w:val="0"/>
          <w:numId w:val="3"/>
        </w:numPr>
        <w:spacing w:after="240" w:line="288" w:lineRule="auto"/>
        <w:ind w:left="714" w:hanging="357"/>
        <w:contextualSpacing w:val="0"/>
        <w:jc w:val="both"/>
        <w:rPr>
          <w:rFonts w:ascii="Verdana" w:hAnsi="Verdana"/>
        </w:rPr>
      </w:pPr>
      <w:r w:rsidRPr="00967757">
        <w:rPr>
          <w:rFonts w:ascii="Verdana" w:hAnsi="Verdana"/>
        </w:rPr>
        <w:t>Η ΓΓ</w:t>
      </w:r>
      <w:r w:rsidR="000470FD" w:rsidRPr="00967757">
        <w:rPr>
          <w:rFonts w:ascii="Verdana" w:hAnsi="Verdana"/>
        </w:rPr>
        <w:t xml:space="preserve"> Ανάπτυξης σχεδιάζει μελέτη για την καταγραφή και αξιολόγηση </w:t>
      </w:r>
      <w:r w:rsidR="008A70F5" w:rsidRPr="00967757">
        <w:rPr>
          <w:rFonts w:ascii="Verdana" w:hAnsi="Verdana"/>
        </w:rPr>
        <w:t>της κατάργησης νομικών και διοικητικών περιορισμών στον τομέα της παροχής υπηρεσιών</w:t>
      </w:r>
      <w:r w:rsidR="00AF5089" w:rsidRPr="00967757">
        <w:rPr>
          <w:rFonts w:ascii="Verdana" w:hAnsi="Verdana"/>
        </w:rPr>
        <w:t xml:space="preserve"> στα πλαίσια της παρακολούθησης της εφαρμογής της Οδηγίας 2006/123/ΕΚ ανά τριετία.</w:t>
      </w:r>
      <w:r w:rsidR="006C520C" w:rsidRPr="00967757">
        <w:rPr>
          <w:rFonts w:ascii="Verdana" w:hAnsi="Verdana"/>
        </w:rPr>
        <w:t xml:space="preserve"> </w:t>
      </w:r>
    </w:p>
    <w:p w14:paraId="53B1DB8A" w14:textId="206FDEAC" w:rsidR="004F4D73" w:rsidRDefault="006C520C" w:rsidP="00967757">
      <w:pPr>
        <w:pStyle w:val="ListParagraph"/>
        <w:numPr>
          <w:ilvl w:val="0"/>
          <w:numId w:val="3"/>
        </w:numPr>
        <w:spacing w:after="240" w:line="288" w:lineRule="auto"/>
        <w:ind w:left="714" w:hanging="357"/>
        <w:contextualSpacing w:val="0"/>
        <w:jc w:val="both"/>
        <w:rPr>
          <w:rFonts w:ascii="Verdana" w:hAnsi="Verdana"/>
        </w:rPr>
      </w:pPr>
      <w:r w:rsidRPr="00967757">
        <w:rPr>
          <w:rFonts w:ascii="Verdana" w:hAnsi="Verdana"/>
        </w:rPr>
        <w:t xml:space="preserve">Επίσης </w:t>
      </w:r>
      <w:r w:rsidR="003351E4" w:rsidRPr="00967757">
        <w:rPr>
          <w:rFonts w:ascii="Verdana" w:hAnsi="Verdana"/>
        </w:rPr>
        <w:t xml:space="preserve">τα </w:t>
      </w:r>
      <w:r w:rsidRPr="00967757">
        <w:rPr>
          <w:rFonts w:ascii="Verdana" w:hAnsi="Verdana"/>
        </w:rPr>
        <w:t>μέλη ενημερώθηκαν για την Ημερίδα Συνεργατικής Οικονομίας στις 11.10.2018</w:t>
      </w:r>
      <w:r w:rsidR="00321F6B" w:rsidRPr="00967757">
        <w:rPr>
          <w:rFonts w:ascii="Verdana" w:hAnsi="Verdana"/>
        </w:rPr>
        <w:t xml:space="preserve">, με </w:t>
      </w:r>
      <w:r w:rsidR="008D7EE2" w:rsidRPr="00967757">
        <w:rPr>
          <w:rFonts w:ascii="Verdana" w:hAnsi="Verdana"/>
        </w:rPr>
        <w:t>ενότητες που αφορούν και τους δικηγόρους (βραχυχρόνιες μισθώσεις, εργασιακά, ευθύνη διαμεσολαβητών, ανταγωνισμός, προσωπικά δεδομένα)</w:t>
      </w:r>
    </w:p>
    <w:p w14:paraId="7EBE20A2" w14:textId="2ACB7DA7" w:rsidR="00967757" w:rsidRPr="00967757" w:rsidRDefault="00967757" w:rsidP="00547D01">
      <w:pPr>
        <w:spacing w:after="0" w:line="288" w:lineRule="auto"/>
        <w:ind w:left="4253"/>
        <w:jc w:val="center"/>
        <w:rPr>
          <w:rFonts w:ascii="Verdana" w:hAnsi="Verdana"/>
          <w:b/>
        </w:rPr>
      </w:pPr>
      <w:r w:rsidRPr="00967757">
        <w:rPr>
          <w:rFonts w:ascii="Verdana" w:hAnsi="Verdana"/>
          <w:b/>
        </w:rPr>
        <w:t>Για την Ελληνική Αντιπροσωπεία</w:t>
      </w:r>
    </w:p>
    <w:p w14:paraId="5BA0381F" w14:textId="259E50EC" w:rsidR="00967757" w:rsidRPr="00967757" w:rsidRDefault="00967757" w:rsidP="00547D01">
      <w:pPr>
        <w:spacing w:after="0" w:line="288" w:lineRule="auto"/>
        <w:ind w:left="4253"/>
        <w:jc w:val="center"/>
        <w:rPr>
          <w:rFonts w:ascii="Verdana" w:hAnsi="Verdana"/>
          <w:b/>
        </w:rPr>
      </w:pPr>
      <w:r w:rsidRPr="00967757">
        <w:rPr>
          <w:rFonts w:ascii="Verdana" w:hAnsi="Verdana"/>
          <w:b/>
        </w:rPr>
        <w:t xml:space="preserve">Μαρία Π. </w:t>
      </w:r>
      <w:proofErr w:type="spellStart"/>
      <w:r w:rsidRPr="00967757">
        <w:rPr>
          <w:rFonts w:ascii="Verdana" w:hAnsi="Verdana"/>
          <w:b/>
        </w:rPr>
        <w:t>Σταματογιάννη</w:t>
      </w:r>
      <w:proofErr w:type="spellEnd"/>
    </w:p>
    <w:p w14:paraId="459345ED" w14:textId="263774C9" w:rsidR="00967757" w:rsidRPr="00967757" w:rsidRDefault="003310F2" w:rsidP="00547D01">
      <w:pPr>
        <w:spacing w:after="240" w:line="288" w:lineRule="auto"/>
        <w:ind w:left="4253"/>
        <w:jc w:val="center"/>
        <w:rPr>
          <w:rFonts w:ascii="Verdana" w:hAnsi="Verdana"/>
          <w:b/>
        </w:rPr>
      </w:pPr>
      <w:r>
        <w:rPr>
          <w:rFonts w:ascii="Verdana" w:hAnsi="Verdana"/>
          <w:b/>
        </w:rPr>
        <w:t>Μέλος ΔΣ/</w:t>
      </w:r>
      <w:bookmarkStart w:id="0" w:name="_GoBack"/>
      <w:bookmarkEnd w:id="0"/>
      <w:r w:rsidR="00967757" w:rsidRPr="00967757">
        <w:rPr>
          <w:rFonts w:ascii="Verdana" w:hAnsi="Verdana"/>
          <w:b/>
        </w:rPr>
        <w:t>ΔΣΠ</w:t>
      </w:r>
    </w:p>
    <w:p w14:paraId="5DA97E81" w14:textId="77777777" w:rsidR="004F4D73" w:rsidRDefault="004F4D73" w:rsidP="00602FA7">
      <w:pPr>
        <w:spacing w:after="240" w:line="288" w:lineRule="auto"/>
        <w:jc w:val="both"/>
        <w:rPr>
          <w:rFonts w:ascii="Verdana" w:hAnsi="Verdana"/>
        </w:rPr>
      </w:pPr>
    </w:p>
    <w:p w14:paraId="6B1CAB2E" w14:textId="77777777" w:rsidR="004F4D73" w:rsidRDefault="004F4D73" w:rsidP="00602FA7">
      <w:pPr>
        <w:spacing w:after="240" w:line="288" w:lineRule="auto"/>
        <w:jc w:val="both"/>
        <w:rPr>
          <w:rFonts w:ascii="Verdana" w:hAnsi="Verdana"/>
        </w:rPr>
      </w:pPr>
    </w:p>
    <w:p w14:paraId="3CAA0946" w14:textId="77777777" w:rsidR="004F4D73" w:rsidRDefault="004F4D73" w:rsidP="00602FA7">
      <w:pPr>
        <w:spacing w:after="240" w:line="288" w:lineRule="auto"/>
        <w:jc w:val="both"/>
        <w:rPr>
          <w:rFonts w:ascii="Verdana" w:hAnsi="Verdana"/>
        </w:rPr>
      </w:pPr>
    </w:p>
    <w:p w14:paraId="4AFAF0BB" w14:textId="77777777" w:rsidR="004F4D73" w:rsidRDefault="004F4D73" w:rsidP="00602FA7">
      <w:pPr>
        <w:spacing w:after="240" w:line="288" w:lineRule="auto"/>
        <w:jc w:val="both"/>
        <w:rPr>
          <w:rFonts w:ascii="Verdana" w:hAnsi="Verdana"/>
        </w:rPr>
      </w:pPr>
    </w:p>
    <w:sectPr w:rsidR="004F4D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F5450"/>
    <w:multiLevelType w:val="hybridMultilevel"/>
    <w:tmpl w:val="71E6E7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26B27FC"/>
    <w:multiLevelType w:val="hybridMultilevel"/>
    <w:tmpl w:val="2DB62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1E7604"/>
    <w:multiLevelType w:val="hybridMultilevel"/>
    <w:tmpl w:val="76006B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CE"/>
    <w:rsid w:val="00021098"/>
    <w:rsid w:val="0002513E"/>
    <w:rsid w:val="000470FD"/>
    <w:rsid w:val="000642DC"/>
    <w:rsid w:val="00065404"/>
    <w:rsid w:val="000841F5"/>
    <w:rsid w:val="000C09B5"/>
    <w:rsid w:val="000C4CC2"/>
    <w:rsid w:val="000D42F3"/>
    <w:rsid w:val="000E63A7"/>
    <w:rsid w:val="001131F0"/>
    <w:rsid w:val="00182E47"/>
    <w:rsid w:val="0018743A"/>
    <w:rsid w:val="00207C03"/>
    <w:rsid w:val="00211285"/>
    <w:rsid w:val="002B28D4"/>
    <w:rsid w:val="002B4311"/>
    <w:rsid w:val="002C73E9"/>
    <w:rsid w:val="002F14BB"/>
    <w:rsid w:val="00312523"/>
    <w:rsid w:val="00321F6B"/>
    <w:rsid w:val="003222F3"/>
    <w:rsid w:val="003310F2"/>
    <w:rsid w:val="003351E4"/>
    <w:rsid w:val="0034449A"/>
    <w:rsid w:val="00364B39"/>
    <w:rsid w:val="00375379"/>
    <w:rsid w:val="003A090C"/>
    <w:rsid w:val="003E12AD"/>
    <w:rsid w:val="00437EBD"/>
    <w:rsid w:val="00463652"/>
    <w:rsid w:val="004721F5"/>
    <w:rsid w:val="00493C3D"/>
    <w:rsid w:val="004D34B2"/>
    <w:rsid w:val="004E078C"/>
    <w:rsid w:val="004F4D73"/>
    <w:rsid w:val="004F4FB2"/>
    <w:rsid w:val="00547D01"/>
    <w:rsid w:val="005729B7"/>
    <w:rsid w:val="00591568"/>
    <w:rsid w:val="005A2674"/>
    <w:rsid w:val="005F3FC9"/>
    <w:rsid w:val="00602FA7"/>
    <w:rsid w:val="0062221A"/>
    <w:rsid w:val="00626153"/>
    <w:rsid w:val="00663E5E"/>
    <w:rsid w:val="006A0687"/>
    <w:rsid w:val="006A302E"/>
    <w:rsid w:val="006A5597"/>
    <w:rsid w:val="006B09EE"/>
    <w:rsid w:val="006C4FDB"/>
    <w:rsid w:val="006C520C"/>
    <w:rsid w:val="006C6C4D"/>
    <w:rsid w:val="006F1009"/>
    <w:rsid w:val="00735D12"/>
    <w:rsid w:val="00753953"/>
    <w:rsid w:val="007557CA"/>
    <w:rsid w:val="007908F6"/>
    <w:rsid w:val="007A0B45"/>
    <w:rsid w:val="007E6D98"/>
    <w:rsid w:val="007F2A15"/>
    <w:rsid w:val="00831EA5"/>
    <w:rsid w:val="00844977"/>
    <w:rsid w:val="008575B1"/>
    <w:rsid w:val="008654A9"/>
    <w:rsid w:val="008854F0"/>
    <w:rsid w:val="008A70F5"/>
    <w:rsid w:val="008B22A8"/>
    <w:rsid w:val="008D7EE2"/>
    <w:rsid w:val="009235C8"/>
    <w:rsid w:val="00967757"/>
    <w:rsid w:val="009A10BC"/>
    <w:rsid w:val="009B1563"/>
    <w:rsid w:val="00A47B4D"/>
    <w:rsid w:val="00A7665E"/>
    <w:rsid w:val="00AA11D4"/>
    <w:rsid w:val="00AA6E70"/>
    <w:rsid w:val="00AF18BA"/>
    <w:rsid w:val="00AF5089"/>
    <w:rsid w:val="00AF74FB"/>
    <w:rsid w:val="00B56008"/>
    <w:rsid w:val="00B70FB0"/>
    <w:rsid w:val="00B83243"/>
    <w:rsid w:val="00BC195B"/>
    <w:rsid w:val="00C436C5"/>
    <w:rsid w:val="00CF054A"/>
    <w:rsid w:val="00D0429B"/>
    <w:rsid w:val="00D07E74"/>
    <w:rsid w:val="00D66F67"/>
    <w:rsid w:val="00D87CC6"/>
    <w:rsid w:val="00DA4DE5"/>
    <w:rsid w:val="00E071CE"/>
    <w:rsid w:val="00E31864"/>
    <w:rsid w:val="00E54156"/>
    <w:rsid w:val="00E709AC"/>
    <w:rsid w:val="00E9186E"/>
    <w:rsid w:val="00EA3148"/>
    <w:rsid w:val="00EC761C"/>
    <w:rsid w:val="00EE0A38"/>
    <w:rsid w:val="00F208BC"/>
    <w:rsid w:val="00F45339"/>
    <w:rsid w:val="00F6065F"/>
    <w:rsid w:val="00F61040"/>
    <w:rsid w:val="00F7095F"/>
    <w:rsid w:val="00FB23CE"/>
    <w:rsid w:val="00FC63D1"/>
    <w:rsid w:val="00FE6923"/>
    <w:rsid w:val="00FF47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FB36"/>
  <w15:chartTrackingRefBased/>
  <w15:docId w15:val="{504BDF3B-A990-43A5-B279-9862993E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1602</TotalTime>
  <Pages>3</Pages>
  <Words>851</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Stamatogianni</dc:creator>
  <cp:keywords/>
  <dc:description/>
  <cp:lastModifiedBy>Maria Stamatogianni</cp:lastModifiedBy>
  <cp:revision>25</cp:revision>
  <dcterms:created xsi:type="dcterms:W3CDTF">2018-11-06T13:44:00Z</dcterms:created>
  <dcterms:modified xsi:type="dcterms:W3CDTF">2018-11-09T14:51:00Z</dcterms:modified>
</cp:coreProperties>
</file>