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0A6FD" w14:textId="4FF6893B" w:rsidR="00D40E47" w:rsidRDefault="00D40E47" w:rsidP="00D40E47">
      <w:pPr>
        <w:jc w:val="center"/>
        <w:rPr>
          <w:b/>
          <w:bCs/>
        </w:rPr>
      </w:pPr>
      <w:bookmarkStart w:id="0" w:name="_GoBack"/>
      <w:r>
        <w:rPr>
          <w:b/>
          <w:bCs/>
        </w:rPr>
        <w:t>ΟΙ ΑΡΥΘΜΙΕΣ ΣΤΗ ΔΙΚΑΙΟΣΥΝΗ ΜΕ ΑΡΙΘΜΟΥΣ</w:t>
      </w:r>
    </w:p>
    <w:p w14:paraId="0675895E" w14:textId="0A3F9E38" w:rsidR="00EB1B71" w:rsidRPr="00A030CB" w:rsidRDefault="00EB1B71" w:rsidP="00EB1B71">
      <w:pPr>
        <w:rPr>
          <w:b/>
          <w:bCs/>
        </w:rPr>
      </w:pPr>
      <w:r>
        <w:rPr>
          <w:b/>
          <w:bCs/>
        </w:rPr>
        <w:t>2</w:t>
      </w:r>
      <w:r w:rsidRPr="00A030CB">
        <w:rPr>
          <w:b/>
          <w:bCs/>
          <w:vertAlign w:val="superscript"/>
        </w:rPr>
        <w:t>ο</w:t>
      </w:r>
      <w:r w:rsidRPr="00A030CB">
        <w:rPr>
          <w:b/>
          <w:bCs/>
        </w:rPr>
        <w:t xml:space="preserve"> Μέρος:</w:t>
      </w:r>
      <w:r w:rsidR="004E6798">
        <w:rPr>
          <w:b/>
          <w:bCs/>
        </w:rPr>
        <w:t xml:space="preserve"> μείωση νέων υποθέσεων – αύξηση αριθμού δικαστών -  μείωση του ρυθμού απονομής της δικαιοσύνης</w:t>
      </w:r>
      <w:r>
        <w:rPr>
          <w:b/>
          <w:bCs/>
        </w:rPr>
        <w:t xml:space="preserve"> </w:t>
      </w:r>
    </w:p>
    <w:p w14:paraId="66239A03" w14:textId="77777777" w:rsidR="00EB1B71" w:rsidRDefault="00EB1B71" w:rsidP="00EB1B71"/>
    <w:p w14:paraId="7ED84E23" w14:textId="77777777" w:rsidR="00EB1B71" w:rsidRDefault="00EB1B71" w:rsidP="00EB1B71"/>
    <w:p w14:paraId="134E4CDA" w14:textId="77777777" w:rsidR="00EB1B71" w:rsidRDefault="00EB1B71" w:rsidP="00EB1B71">
      <w:pPr>
        <w:jc w:val="both"/>
      </w:pPr>
      <w:r>
        <w:t>Σε συνέχεια της δημοσίευσης του 1</w:t>
      </w:r>
      <w:r w:rsidRPr="00EB1B71">
        <w:rPr>
          <w:vertAlign w:val="superscript"/>
        </w:rPr>
        <w:t>ου</w:t>
      </w:r>
      <w:r>
        <w:t xml:space="preserve"> Μέρους της </w:t>
      </w:r>
      <w:r w:rsidRPr="00A030CB">
        <w:t>Έκθεση</w:t>
      </w:r>
      <w:r>
        <w:t>ς</w:t>
      </w:r>
      <w:r w:rsidRPr="00A030CB">
        <w:t xml:space="preserve"> Αξιολόγησης</w:t>
      </w:r>
      <w:r>
        <w:t xml:space="preserve"> (2024)</w:t>
      </w:r>
      <w:r w:rsidRPr="00A030CB">
        <w:t xml:space="preserve"> της Ευρωπαϊκή</w:t>
      </w:r>
      <w:r>
        <w:t>ς</w:t>
      </w:r>
      <w:r w:rsidRPr="00A030CB">
        <w:t xml:space="preserve"> Επιτροπή</w:t>
      </w:r>
      <w:r>
        <w:t>ς</w:t>
      </w:r>
      <w:r w:rsidRPr="00A030CB">
        <w:t xml:space="preserve"> για την Αποδοτικότητα της Δικαιοσύνης (CEPEJ) για τα Δικαστικά Συστήματα</w:t>
      </w:r>
      <w:r>
        <w:t xml:space="preserve"> των χωρών του Συμβουλίου της Ευρώπης, που αφορούσε την ταχύτητα απονομής της δικαιοσύνης, δημοσιεύουμε σήμερα το 2</w:t>
      </w:r>
      <w:r w:rsidRPr="00EB1B71">
        <w:rPr>
          <w:vertAlign w:val="superscript"/>
        </w:rPr>
        <w:t>ο</w:t>
      </w:r>
      <w:r>
        <w:t xml:space="preserve"> Μέρος που αφορά στο ρυθμό απονομής και την αποδοτικότητα του συστήματος. </w:t>
      </w:r>
    </w:p>
    <w:p w14:paraId="10C3B485" w14:textId="3F981952" w:rsidR="00BF50FC" w:rsidRDefault="004E6798" w:rsidP="00EB1B71">
      <w:pPr>
        <w:jc w:val="both"/>
      </w:pPr>
      <w:r>
        <w:t>Ειδικότερα, σ</w:t>
      </w:r>
      <w:r w:rsidR="00EB1B71">
        <w:t>το παρόν 2</w:t>
      </w:r>
      <w:r w:rsidR="00EB1B71" w:rsidRPr="009814A4">
        <w:rPr>
          <w:vertAlign w:val="superscript"/>
        </w:rPr>
        <w:t>ο</w:t>
      </w:r>
      <w:r w:rsidR="00EB1B71">
        <w:t xml:space="preserve"> μέρος παρουσιάζονται τα στοιχεία που αφορούν τον αριθμό νέων υποθέσεων, τον αριθμό δικαστών και δικαστικών υπαλλήλων σε σχέση με το ρυθμό διεκπεραίωσης αυτών.</w:t>
      </w:r>
    </w:p>
    <w:p w14:paraId="3EE29525" w14:textId="77777777" w:rsidR="00BF50FC" w:rsidRDefault="00BF50FC" w:rsidP="00EB1B71">
      <w:pPr>
        <w:jc w:val="both"/>
      </w:pPr>
    </w:p>
    <w:p w14:paraId="52223227" w14:textId="101C95DC" w:rsidR="00EB1B71" w:rsidRDefault="00BF50FC" w:rsidP="00EB1B71">
      <w:pPr>
        <w:jc w:val="both"/>
      </w:pPr>
      <w:r>
        <w:t>Από τη σύγκριση των αριθμητικών στοιχείων</w:t>
      </w:r>
      <w:r w:rsidR="004E6798">
        <w:t>,</w:t>
      </w:r>
      <w:r>
        <w:t xml:space="preserve"> με έτος αναφοράς το 2012 και το 2022</w:t>
      </w:r>
      <w:r w:rsidR="004E6798">
        <w:t>,</w:t>
      </w:r>
      <w:r>
        <w:t xml:space="preserve"> προκύπτει ότι στο διάστημα της τελευταίας δεκαετίας: </w:t>
      </w:r>
    </w:p>
    <w:p w14:paraId="5CB92878" w14:textId="77777777" w:rsidR="00BF50FC" w:rsidRDefault="00BF50FC" w:rsidP="00EB1B71">
      <w:pPr>
        <w:jc w:val="both"/>
      </w:pPr>
    </w:p>
    <w:p w14:paraId="71697301" w14:textId="1A448B89" w:rsidR="00BF50FC" w:rsidRDefault="00BF50FC" w:rsidP="00BF50FC">
      <w:pPr>
        <w:pStyle w:val="a6"/>
        <w:numPr>
          <w:ilvl w:val="0"/>
          <w:numId w:val="2"/>
        </w:numPr>
        <w:jc w:val="both"/>
      </w:pPr>
      <w:r w:rsidRPr="00BF50FC">
        <w:rPr>
          <w:b/>
          <w:bCs/>
        </w:rPr>
        <w:t>Ο αριθμός νέων υποθέσεων έχει μειωθεί δραματικά</w:t>
      </w:r>
      <w:r>
        <w:t>: από 5,83 εισερχόμενες πολιτικές υποθέσεις 1</w:t>
      </w:r>
      <w:r w:rsidRPr="00BF50FC">
        <w:rPr>
          <w:vertAlign w:val="superscript"/>
        </w:rPr>
        <w:t>ου</w:t>
      </w:r>
      <w:r>
        <w:t xml:space="preserve"> βαθμού ανά 100 κατοίκους το 2012, οι νέες υποθέσεις ανέρχονται πλέον σε μόλις 1,31 ανά 100 κατοίκους. </w:t>
      </w:r>
    </w:p>
    <w:p w14:paraId="69FEACDC" w14:textId="3FFB6BB5" w:rsidR="00BF50FC" w:rsidRDefault="00BF50FC" w:rsidP="00BF50FC">
      <w:pPr>
        <w:pStyle w:val="a6"/>
        <w:numPr>
          <w:ilvl w:val="0"/>
          <w:numId w:val="2"/>
        </w:numPr>
        <w:jc w:val="both"/>
      </w:pPr>
      <w:r w:rsidRPr="004E6798">
        <w:t xml:space="preserve">Πτώση παρουσιάζουν και οι </w:t>
      </w:r>
      <w:proofErr w:type="spellStart"/>
      <w:r w:rsidR="004E6798">
        <w:t>νεοεισερχόμενες</w:t>
      </w:r>
      <w:proofErr w:type="spellEnd"/>
      <w:r w:rsidR="004E6798">
        <w:t xml:space="preserve"> </w:t>
      </w:r>
      <w:r w:rsidRPr="004E6798">
        <w:t>ποινικές και οι διοικητικές υποθέσεις,</w:t>
      </w:r>
      <w:r>
        <w:t xml:space="preserve"> όπως και οι υποθέσεις των ανώτερων βαθμών δικαιοδοσίας (βλ. αναλυτικά </w:t>
      </w:r>
      <w:r w:rsidR="004E6798">
        <w:t xml:space="preserve">τα </w:t>
      </w:r>
      <w:r>
        <w:t>αριθμητικά μεγέθη κατωτέρω).</w:t>
      </w:r>
    </w:p>
    <w:p w14:paraId="2B5FDF57" w14:textId="0D4C290C" w:rsidR="00D40E47" w:rsidRDefault="00D40E47" w:rsidP="00D40E47">
      <w:pPr>
        <w:pStyle w:val="a6"/>
        <w:jc w:val="both"/>
      </w:pPr>
      <w:r>
        <w:t>Έτσι καταρρίπτεται πανηγυρικά ο γνωστός μύθος που αναπαράγουν συνέχεια δικαστικοί κύκλοι ότι η καθυστέρηση απονομής της Δικαιοσύνης οφείλεται στον πληθωρισμό των δικηγόρων που «γεννά» υποθέσεις, με αποτέλεσμα να έχει αυξηθεί και δη δραματικά ο αριθμός των εισερχομένων υποθέσεων στο δικαστικό σύστημα της χώρας.</w:t>
      </w:r>
    </w:p>
    <w:p w14:paraId="0D871F16" w14:textId="77777777" w:rsidR="007E38E5" w:rsidRDefault="00BF50FC" w:rsidP="00BF50FC">
      <w:pPr>
        <w:pStyle w:val="a6"/>
        <w:numPr>
          <w:ilvl w:val="0"/>
          <w:numId w:val="2"/>
        </w:numPr>
        <w:jc w:val="both"/>
      </w:pPr>
      <w:r w:rsidRPr="00AE3785">
        <w:rPr>
          <w:b/>
          <w:bCs/>
        </w:rPr>
        <w:t>Ο αριθμός των δικαστών, στην ίδια περίοδο, έχει αυξηθεί σημαντικά και  είναι πολύ υψηλότερος από τα αντίστοιχα ευρωπαϊκά δεδομένα</w:t>
      </w:r>
      <w:r>
        <w:t xml:space="preserve">. Ενδεικτικά, </w:t>
      </w:r>
      <w:r w:rsidR="000C0DBA">
        <w:t xml:space="preserve">ενώ το 2012 στην Ελλάδα υπηρετούσαν 23,3 δικαστές ανά 100.000 κατοίκους, το 2022 υπηρετούν 37,3 δικαστές ανά 100.000 κατοίκους, τη στιγμή που η διάμεση τιμή στα ευρωπαϊκά κράτη είναι 17,6. </w:t>
      </w:r>
    </w:p>
    <w:p w14:paraId="6488F272" w14:textId="41C6F43F" w:rsidR="00BF50FC" w:rsidRDefault="000C0DBA" w:rsidP="00BF50FC">
      <w:pPr>
        <w:pStyle w:val="a6"/>
        <w:numPr>
          <w:ilvl w:val="0"/>
          <w:numId w:val="2"/>
        </w:numPr>
        <w:jc w:val="both"/>
      </w:pPr>
      <w:r>
        <w:t xml:space="preserve">Αντιθέτως, </w:t>
      </w:r>
      <w:r w:rsidRPr="00AE3785">
        <w:rPr>
          <w:b/>
          <w:bCs/>
        </w:rPr>
        <w:t>η Ελλάδα υπολείπεται έναντι των ευρωπαϊκών χωρών σε αριθμό δικαστικών υπαλλήλων</w:t>
      </w:r>
      <w:r>
        <w:t>:</w:t>
      </w:r>
      <w:r w:rsidR="007E38E5">
        <w:t xml:space="preserve"> το</w:t>
      </w:r>
      <w:r>
        <w:t xml:space="preserve"> </w:t>
      </w:r>
      <w:r w:rsidRPr="000C0DBA">
        <w:t>2022</w:t>
      </w:r>
      <w:r w:rsidR="007E38E5">
        <w:t xml:space="preserve"> υπηρετούσαν</w:t>
      </w:r>
      <w:r w:rsidRPr="000C0DBA">
        <w:t xml:space="preserve"> Ελλάδα: 44,7</w:t>
      </w:r>
      <w:r w:rsidR="007E38E5">
        <w:t>, ενώ η διάμεση τιμή</w:t>
      </w:r>
      <w:r w:rsidRPr="000C0DBA">
        <w:t xml:space="preserve"> </w:t>
      </w:r>
      <w:r w:rsidR="007E38E5">
        <w:t xml:space="preserve">του </w:t>
      </w:r>
      <w:r w:rsidRPr="000C0DBA">
        <w:t>Συμβουλίου της Ευρώπης</w:t>
      </w:r>
      <w:r w:rsidR="007E38E5">
        <w:t xml:space="preserve"> είναι</w:t>
      </w:r>
      <w:r w:rsidRPr="000C0DBA">
        <w:t xml:space="preserve"> 57,9</w:t>
      </w:r>
      <w:r w:rsidR="007E38E5">
        <w:t xml:space="preserve">. </w:t>
      </w:r>
    </w:p>
    <w:p w14:paraId="766F504C" w14:textId="691AA1DB" w:rsidR="00AE3785" w:rsidRDefault="007E38E5" w:rsidP="00AE3785">
      <w:pPr>
        <w:pStyle w:val="a6"/>
        <w:numPr>
          <w:ilvl w:val="0"/>
          <w:numId w:val="2"/>
        </w:numPr>
        <w:jc w:val="both"/>
      </w:pPr>
      <w:r>
        <w:t xml:space="preserve">Τέλος, </w:t>
      </w:r>
      <w:r w:rsidRPr="00AE3785">
        <w:rPr>
          <w:b/>
          <w:bCs/>
        </w:rPr>
        <w:t>παρά το γεγονός ότι οι εισερχόμενες υποθέσεις μειώνονται και οι δικαστικοί λειτουργοί αυξάνονται, ο ρυθμός διεκπεραίωσης των υποθέσεων (</w:t>
      </w:r>
      <w:r w:rsidRPr="00AE3785">
        <w:rPr>
          <w:b/>
          <w:bCs/>
          <w:lang w:val="en-US"/>
        </w:rPr>
        <w:t>clearance</w:t>
      </w:r>
      <w:r w:rsidRPr="00AE3785">
        <w:rPr>
          <w:b/>
          <w:bCs/>
        </w:rPr>
        <w:t xml:space="preserve"> </w:t>
      </w:r>
      <w:r w:rsidRPr="00AE3785">
        <w:rPr>
          <w:b/>
          <w:bCs/>
          <w:lang w:val="en-US"/>
        </w:rPr>
        <w:t>rate</w:t>
      </w:r>
      <w:r w:rsidRPr="00AE3785">
        <w:rPr>
          <w:b/>
          <w:bCs/>
        </w:rPr>
        <w:t xml:space="preserve">), τόσο στις αστικές, όσο και στις ποινικές υποθέσεις </w:t>
      </w:r>
      <w:r w:rsidR="00AE3785" w:rsidRPr="00AE3785">
        <w:rPr>
          <w:b/>
          <w:bCs/>
        </w:rPr>
        <w:t>υπολείπεται του 100%</w:t>
      </w:r>
      <w:r w:rsidR="00AE3785">
        <w:rPr>
          <w:b/>
          <w:bCs/>
        </w:rPr>
        <w:t xml:space="preserve"> </w:t>
      </w:r>
      <w:r w:rsidR="00AE3785">
        <w:t xml:space="preserve">(αστικές υποθέσεις: 1ος βαθμός: 93%, 2ος βαθμός: 79%· ποινικές υποθέσεις: 1ος βαθμός: 70%, 2ος βαθμός: 64%)   </w:t>
      </w:r>
      <w:r w:rsidR="00AE3785" w:rsidRPr="004E6798">
        <w:rPr>
          <w:b/>
          <w:bCs/>
        </w:rPr>
        <w:t>με αποτέλεσμα ο όγκος των εκκρεμών υποθέσεων να αυξάνεται και η απονομή της δικαιοσύνης να επιβραδύνεται</w:t>
      </w:r>
      <w:r w:rsidR="00AE3785">
        <w:t xml:space="preserve">. Επιτάχυνση παρατηρείται μόνον στις διοικητικές υποθέσεις, όπου </w:t>
      </w:r>
      <w:r w:rsidR="004E6798">
        <w:t>ο ρυθμός διεκπεραίωσης</w:t>
      </w:r>
      <w:r w:rsidR="00AE3785">
        <w:t xml:space="preserve"> </w:t>
      </w:r>
      <w:r w:rsidR="004E6798">
        <w:t>(</w:t>
      </w:r>
      <w:r w:rsidR="00AE3785">
        <w:rPr>
          <w:lang w:val="en-US"/>
        </w:rPr>
        <w:t>clearance</w:t>
      </w:r>
      <w:r w:rsidR="00AE3785" w:rsidRPr="00AE3785">
        <w:t xml:space="preserve"> </w:t>
      </w:r>
      <w:r w:rsidR="00AE3785">
        <w:rPr>
          <w:lang w:val="en-US"/>
        </w:rPr>
        <w:t>rate</w:t>
      </w:r>
      <w:r w:rsidR="004E6798">
        <w:t>)</w:t>
      </w:r>
      <w:r w:rsidR="00AE3785" w:rsidRPr="00AE3785">
        <w:t xml:space="preserve"> </w:t>
      </w:r>
      <w:r w:rsidR="00AE3785">
        <w:t xml:space="preserve">υπερβαίνει το 100%, με αποτέλεσμα οι εκκρεμείς υποθέσεις να μειώνονται. </w:t>
      </w:r>
    </w:p>
    <w:p w14:paraId="36806971" w14:textId="77777777" w:rsidR="00AE3785" w:rsidRDefault="00AE3785" w:rsidP="00AE3785">
      <w:pPr>
        <w:jc w:val="both"/>
      </w:pPr>
    </w:p>
    <w:p w14:paraId="546EE90D" w14:textId="5E0D6458" w:rsidR="007E38E5" w:rsidRPr="00AE3785" w:rsidRDefault="00AE3785" w:rsidP="00AE3785">
      <w:pPr>
        <w:jc w:val="both"/>
        <w:rPr>
          <w:b/>
          <w:bCs/>
        </w:rPr>
      </w:pPr>
      <w:r w:rsidRPr="00AE3785">
        <w:rPr>
          <w:b/>
          <w:bCs/>
        </w:rPr>
        <w:lastRenderedPageBreak/>
        <w:t xml:space="preserve">Ακολουθούν τα αναλυτικά αριθμητικά δεδομένα και οι Πίνακες από την Έκθεση του </w:t>
      </w:r>
      <w:r w:rsidRPr="00AE3785">
        <w:rPr>
          <w:b/>
          <w:bCs/>
          <w:lang w:val="en-US"/>
        </w:rPr>
        <w:t>CEPEJ</w:t>
      </w:r>
      <w:r w:rsidRPr="00AE3785">
        <w:rPr>
          <w:b/>
          <w:bCs/>
        </w:rPr>
        <w:t xml:space="preserve">: </w:t>
      </w:r>
      <w:r w:rsidR="007E38E5" w:rsidRPr="00AE3785">
        <w:rPr>
          <w:b/>
          <w:bCs/>
        </w:rPr>
        <w:t xml:space="preserve"> </w:t>
      </w:r>
    </w:p>
    <w:p w14:paraId="04EAD711" w14:textId="77777777" w:rsidR="00EB1B71" w:rsidRPr="00AE3785" w:rsidRDefault="00EB1B71" w:rsidP="00EB1B71">
      <w:pPr>
        <w:rPr>
          <w:b/>
          <w:bCs/>
        </w:rPr>
      </w:pPr>
    </w:p>
    <w:p w14:paraId="7DD7CB54" w14:textId="77777777" w:rsidR="00EB1B71" w:rsidRDefault="00EB1B71" w:rsidP="00EB1B71">
      <w:pPr>
        <w:jc w:val="both"/>
      </w:pPr>
    </w:p>
    <w:p w14:paraId="446BB470" w14:textId="09D6A050" w:rsidR="00EB1B71" w:rsidRPr="00AE3785" w:rsidRDefault="00AE3785" w:rsidP="00EB1B71">
      <w:pPr>
        <w:rPr>
          <w:b/>
          <w:bCs/>
          <w:u w:val="single"/>
        </w:rPr>
      </w:pPr>
      <w:r w:rsidRPr="00AE3785">
        <w:rPr>
          <w:b/>
          <w:bCs/>
          <w:u w:val="single"/>
        </w:rPr>
        <w:t>Αριθμητικά δεδομένα</w:t>
      </w:r>
    </w:p>
    <w:p w14:paraId="6314BE56" w14:textId="77777777" w:rsidR="00EB1B71" w:rsidRDefault="00EB1B71" w:rsidP="00EB1B71">
      <w:pPr>
        <w:rPr>
          <w:b/>
          <w:bCs/>
        </w:rPr>
      </w:pPr>
    </w:p>
    <w:p w14:paraId="1F039B83" w14:textId="2D091E37" w:rsidR="00EB1B71" w:rsidRPr="00EB1B71" w:rsidRDefault="00EB1B71" w:rsidP="00EB1B71">
      <w:pPr>
        <w:pStyle w:val="a6"/>
        <w:numPr>
          <w:ilvl w:val="0"/>
          <w:numId w:val="1"/>
        </w:numPr>
        <w:rPr>
          <w:b/>
          <w:bCs/>
        </w:rPr>
      </w:pPr>
      <w:r w:rsidRPr="00EB1B71">
        <w:rPr>
          <w:b/>
          <w:bCs/>
        </w:rPr>
        <w:t>Εισερχόμενες Υποθέσεις (ανά 100 κατοίκους):</w:t>
      </w:r>
    </w:p>
    <w:p w14:paraId="6871A603" w14:textId="77777777" w:rsidR="00EB1B71" w:rsidRPr="00E82BA0" w:rsidRDefault="00EB1B71" w:rsidP="00EB1B71"/>
    <w:p w14:paraId="6AFAAE7C" w14:textId="77777777" w:rsidR="00EB1B71" w:rsidRPr="00E82BA0" w:rsidRDefault="00EB1B71" w:rsidP="00EB1B71">
      <w:pPr>
        <w:rPr>
          <w:i/>
          <w:iCs/>
        </w:rPr>
      </w:pPr>
      <w:r w:rsidRPr="00E82BA0">
        <w:rPr>
          <w:i/>
          <w:iCs/>
        </w:rPr>
        <w:t>Συνολικός αριθμός υποθέσεων 1ου βαθμού:</w:t>
      </w:r>
    </w:p>
    <w:p w14:paraId="2E04AC61" w14:textId="77777777" w:rsidR="00EB1B71" w:rsidRPr="00EB1B71" w:rsidRDefault="00EB1B71" w:rsidP="00EB1B71">
      <w:pPr>
        <w:rPr>
          <w:b/>
          <w:bCs/>
        </w:rPr>
      </w:pPr>
      <w:r w:rsidRPr="00EB1B71">
        <w:rPr>
          <w:b/>
          <w:bCs/>
        </w:rPr>
        <w:t>2022: Αστικές 1,31, Ποινικές 2,48, Διοικητικές 0,49</w:t>
      </w:r>
    </w:p>
    <w:p w14:paraId="0455DD48" w14:textId="77777777" w:rsidR="00EB1B71" w:rsidRPr="00E82BA0" w:rsidRDefault="00EB1B71" w:rsidP="00EB1B71">
      <w:r w:rsidRPr="00E82BA0">
        <w:t xml:space="preserve">2020: Αστικές </w:t>
      </w:r>
      <w:r w:rsidRPr="00EB1B71">
        <w:rPr>
          <w:i/>
          <w:iCs/>
        </w:rPr>
        <w:t>Μη διαθέσιμο</w:t>
      </w:r>
      <w:r w:rsidRPr="00E82BA0">
        <w:t xml:space="preserve">, Ποινικές </w:t>
      </w:r>
      <w:r w:rsidRPr="00EB1B71">
        <w:rPr>
          <w:i/>
          <w:iCs/>
        </w:rPr>
        <w:t>Μη διαθέσιμο</w:t>
      </w:r>
      <w:r w:rsidRPr="00E82BA0">
        <w:t>, Διοικητικές 0,42</w:t>
      </w:r>
    </w:p>
    <w:p w14:paraId="6D16D70A" w14:textId="77777777" w:rsidR="00EB1B71" w:rsidRPr="00EB1B71" w:rsidRDefault="00EB1B71" w:rsidP="00EB1B71">
      <w:pPr>
        <w:rPr>
          <w:b/>
          <w:bCs/>
        </w:rPr>
      </w:pPr>
      <w:r w:rsidRPr="00EB1B71">
        <w:rPr>
          <w:b/>
          <w:bCs/>
        </w:rPr>
        <w:t>2018: Αστικές 1,99 , Ποινικές 4,36 , Διοικητικές 0,56</w:t>
      </w:r>
    </w:p>
    <w:p w14:paraId="20448A34" w14:textId="77777777" w:rsidR="00EB1B71" w:rsidRPr="00E82BA0" w:rsidRDefault="00EB1B71" w:rsidP="00EB1B71">
      <w:r w:rsidRPr="00E82BA0">
        <w:t>2016: Αστικές 1,36 , Ποινικές Μη διαθέσιμο, Διοικητικές 0,50</w:t>
      </w:r>
    </w:p>
    <w:p w14:paraId="0076B234" w14:textId="77777777" w:rsidR="00EB1B71" w:rsidRPr="001341C9" w:rsidRDefault="00EB1B71" w:rsidP="00EB1B71">
      <w:pPr>
        <w:rPr>
          <w:b/>
          <w:bCs/>
        </w:rPr>
      </w:pPr>
      <w:r w:rsidRPr="001341C9">
        <w:rPr>
          <w:b/>
          <w:bCs/>
        </w:rPr>
        <w:t>2014: Αστικές 2,23, Ποινικές Μη διαθέσιμο, Διοικητικές Μη διαθέσιμο</w:t>
      </w:r>
    </w:p>
    <w:p w14:paraId="649F290A" w14:textId="77777777" w:rsidR="00EB1B71" w:rsidRPr="001341C9" w:rsidRDefault="00EB1B71" w:rsidP="00EB1B71">
      <w:pPr>
        <w:rPr>
          <w:b/>
          <w:bCs/>
        </w:rPr>
      </w:pPr>
      <w:r w:rsidRPr="001341C9">
        <w:rPr>
          <w:b/>
          <w:bCs/>
        </w:rPr>
        <w:t>2012: Αστικές  5,83 , Ποινικές Μη διαθέσιμο, Διοικητικές 0,58</w:t>
      </w:r>
    </w:p>
    <w:p w14:paraId="48F64EA8" w14:textId="77777777" w:rsidR="00EB1B71" w:rsidRPr="00E82BA0" w:rsidRDefault="00EB1B71" w:rsidP="00EB1B71"/>
    <w:p w14:paraId="2C346929" w14:textId="77777777" w:rsidR="00EB1B71" w:rsidRPr="00E82BA0" w:rsidRDefault="00EB1B71" w:rsidP="00EB1B71">
      <w:pPr>
        <w:rPr>
          <w:i/>
          <w:iCs/>
        </w:rPr>
      </w:pPr>
      <w:r w:rsidRPr="00E82BA0">
        <w:rPr>
          <w:i/>
          <w:iCs/>
        </w:rPr>
        <w:t>Συνολικός αριθμός υποθέσεων 2ου βαθμού:</w:t>
      </w:r>
    </w:p>
    <w:p w14:paraId="71B31379" w14:textId="77777777" w:rsidR="00EB1B71" w:rsidRPr="00EB1B71" w:rsidRDefault="00EB1B71" w:rsidP="00EB1B71">
      <w:pPr>
        <w:rPr>
          <w:b/>
          <w:bCs/>
        </w:rPr>
      </w:pPr>
      <w:r w:rsidRPr="00EB1B71">
        <w:rPr>
          <w:b/>
          <w:bCs/>
        </w:rPr>
        <w:t>2022: Αστικές 0,15, Ποινικές 0,36, Διοικητικές 0,16</w:t>
      </w:r>
    </w:p>
    <w:p w14:paraId="7DFEF107" w14:textId="77777777" w:rsidR="00EB1B71" w:rsidRPr="00E82BA0" w:rsidRDefault="00EB1B71" w:rsidP="00EB1B71">
      <w:r w:rsidRPr="00E82BA0">
        <w:t>2020: Αστικές Μη διαθέσιμο, Ποινικές 0,17, Διοικητικές 0,17</w:t>
      </w:r>
    </w:p>
    <w:p w14:paraId="3871A549" w14:textId="77777777" w:rsidR="00EB1B71" w:rsidRPr="00EB1B71" w:rsidRDefault="00EB1B71" w:rsidP="00EB1B71">
      <w:pPr>
        <w:rPr>
          <w:b/>
          <w:bCs/>
        </w:rPr>
      </w:pPr>
      <w:r w:rsidRPr="00EB1B71">
        <w:rPr>
          <w:b/>
          <w:bCs/>
        </w:rPr>
        <w:t>2018: Αστικές 0,21, Ποινικές 0,53, Διοικητικές 0,18</w:t>
      </w:r>
    </w:p>
    <w:p w14:paraId="7ADEB237" w14:textId="77777777" w:rsidR="00EB1B71" w:rsidRPr="00E82BA0" w:rsidRDefault="00EB1B71" w:rsidP="00EB1B71">
      <w:r w:rsidRPr="00E82BA0">
        <w:t>2016: Αστικές 0,17, Ποινικές Μη διαθέσιμο, Διοικητικές 0,15</w:t>
      </w:r>
    </w:p>
    <w:p w14:paraId="4C67D9DF" w14:textId="77777777" w:rsidR="00EB1B71" w:rsidRPr="00E82BA0" w:rsidRDefault="00EB1B71" w:rsidP="00EB1B71">
      <w:r w:rsidRPr="00E82BA0">
        <w:t>2014: Αστικές 0,25 , Ποινικές Μη διαθέσιμο, Διοικητικές Μη διαθέσιμο</w:t>
      </w:r>
    </w:p>
    <w:p w14:paraId="471E1D72" w14:textId="77777777" w:rsidR="00EB1B71" w:rsidRPr="00E82BA0" w:rsidRDefault="00EB1B71" w:rsidP="00EB1B71">
      <w:r w:rsidRPr="00E82BA0">
        <w:t>2012: Αστικές  0,23 , Ποινικές Μη διαθέσιμο, Διοικητικές 0,25</w:t>
      </w:r>
    </w:p>
    <w:p w14:paraId="695C8BA8" w14:textId="77777777" w:rsidR="00EB1B71" w:rsidRPr="00E82BA0" w:rsidRDefault="00EB1B71" w:rsidP="00EB1B71"/>
    <w:p w14:paraId="1E66A5CB" w14:textId="77777777" w:rsidR="00EB1B71" w:rsidRPr="00E82BA0" w:rsidRDefault="00EB1B71" w:rsidP="00EB1B71">
      <w:pPr>
        <w:rPr>
          <w:i/>
          <w:iCs/>
        </w:rPr>
      </w:pPr>
      <w:r w:rsidRPr="00E82BA0">
        <w:rPr>
          <w:i/>
          <w:iCs/>
        </w:rPr>
        <w:t xml:space="preserve">Συνολικός αριθμός υποθέσεων </w:t>
      </w:r>
      <w:proofErr w:type="spellStart"/>
      <w:r w:rsidRPr="00E82BA0">
        <w:rPr>
          <w:i/>
          <w:iCs/>
        </w:rPr>
        <w:t>Ανωτάτου</w:t>
      </w:r>
      <w:proofErr w:type="spellEnd"/>
      <w:r w:rsidRPr="00E82BA0">
        <w:rPr>
          <w:i/>
          <w:iCs/>
        </w:rPr>
        <w:t xml:space="preserve"> Δικαστηρίου:</w:t>
      </w:r>
    </w:p>
    <w:p w14:paraId="62F31697" w14:textId="77777777" w:rsidR="00EB1B71" w:rsidRPr="00E82BA0" w:rsidRDefault="00EB1B71" w:rsidP="00EB1B71">
      <w:r w:rsidRPr="00E82BA0">
        <w:t xml:space="preserve">2022: Αστικές </w:t>
      </w:r>
      <w:bookmarkStart w:id="1" w:name="_Hlk180043943"/>
      <w:r w:rsidRPr="00EB1B71">
        <w:rPr>
          <w:i/>
          <w:iCs/>
        </w:rPr>
        <w:t>Μη διαθέσιμο</w:t>
      </w:r>
      <w:r w:rsidRPr="00E82BA0">
        <w:t xml:space="preserve"> </w:t>
      </w:r>
      <w:bookmarkEnd w:id="1"/>
      <w:r w:rsidRPr="00E82BA0">
        <w:t>, Ποινικές 0,012, Διοικητικές 0,028</w:t>
      </w:r>
    </w:p>
    <w:p w14:paraId="22B68163" w14:textId="77777777" w:rsidR="00EB1B71" w:rsidRPr="00E82BA0" w:rsidRDefault="00EB1B71" w:rsidP="00EB1B71">
      <w:r w:rsidRPr="00E82BA0">
        <w:t xml:space="preserve">2020: Αστικές </w:t>
      </w:r>
      <w:r w:rsidRPr="00EB1B71">
        <w:rPr>
          <w:i/>
          <w:iCs/>
        </w:rPr>
        <w:t>Μη διαθέσιμο</w:t>
      </w:r>
      <w:r w:rsidRPr="00E82BA0">
        <w:t xml:space="preserve">, Ποινικές </w:t>
      </w:r>
      <w:r w:rsidRPr="00EB1B71">
        <w:rPr>
          <w:i/>
          <w:iCs/>
        </w:rPr>
        <w:t>Μη διαθέσιμο</w:t>
      </w:r>
      <w:r w:rsidRPr="00E82BA0">
        <w:t>, Διοικητικές 0,031</w:t>
      </w:r>
    </w:p>
    <w:p w14:paraId="4E8E8755" w14:textId="77777777" w:rsidR="00EB1B71" w:rsidRPr="00E82BA0" w:rsidRDefault="00EB1B71" w:rsidP="00EB1B71">
      <w:r w:rsidRPr="00E82BA0">
        <w:t>2018: Αστικές 0,022 , Ποινικές 0,015, Διοικητικές 0,034</w:t>
      </w:r>
    </w:p>
    <w:p w14:paraId="4CEAB5F3" w14:textId="77777777" w:rsidR="00EB1B71" w:rsidRPr="00E82BA0" w:rsidRDefault="00EB1B71" w:rsidP="00EB1B71">
      <w:r w:rsidRPr="00E82BA0">
        <w:t xml:space="preserve">2016: Αστικές </w:t>
      </w:r>
      <w:r w:rsidRPr="00EB1B71">
        <w:rPr>
          <w:i/>
          <w:iCs/>
        </w:rPr>
        <w:t>Μη διαθέσιμο</w:t>
      </w:r>
      <w:r w:rsidRPr="00E82BA0">
        <w:t>, Ποινικές 0,012, Διοικητικές 0,043</w:t>
      </w:r>
    </w:p>
    <w:p w14:paraId="6352FE99" w14:textId="77777777" w:rsidR="00EB1B71" w:rsidRPr="00E82BA0" w:rsidRDefault="00EB1B71" w:rsidP="00EB1B71">
      <w:r w:rsidRPr="00E82BA0">
        <w:t xml:space="preserve">2014: Αστικές </w:t>
      </w:r>
      <w:r w:rsidRPr="00EB1B71">
        <w:rPr>
          <w:i/>
          <w:iCs/>
        </w:rPr>
        <w:t>Μη διαθέσιμο</w:t>
      </w:r>
      <w:r w:rsidRPr="00E82BA0">
        <w:t xml:space="preserve">, Ποινικές 0,011, Διοικητικές </w:t>
      </w:r>
      <w:r w:rsidRPr="00EB1B71">
        <w:rPr>
          <w:i/>
          <w:iCs/>
        </w:rPr>
        <w:t>Μη διαθέσιμο</w:t>
      </w:r>
    </w:p>
    <w:p w14:paraId="01FE0CD3" w14:textId="77777777" w:rsidR="00EB1B71" w:rsidRPr="00E82BA0" w:rsidRDefault="00EB1B71" w:rsidP="00EB1B71">
      <w:pPr>
        <w:pBdr>
          <w:bottom w:val="single" w:sz="4" w:space="1" w:color="auto"/>
        </w:pBdr>
      </w:pPr>
      <w:r w:rsidRPr="00E82BA0">
        <w:t xml:space="preserve">2012: Αστικές 0,015 , Ποινικές 0,016 , Διοικητικές </w:t>
      </w:r>
      <w:r w:rsidRPr="00EB1B71">
        <w:rPr>
          <w:i/>
          <w:iCs/>
        </w:rPr>
        <w:t>Μη διαθέσιμο</w:t>
      </w:r>
    </w:p>
    <w:p w14:paraId="0A3EBAF2" w14:textId="77777777" w:rsidR="00EB1B71" w:rsidRPr="00E82BA0" w:rsidRDefault="00EB1B71" w:rsidP="00EB1B71">
      <w:pPr>
        <w:pBdr>
          <w:bottom w:val="single" w:sz="4" w:space="1" w:color="auto"/>
        </w:pBdr>
      </w:pPr>
    </w:p>
    <w:p w14:paraId="1319A747" w14:textId="77777777" w:rsidR="00EB1B71" w:rsidRDefault="00EB1B71" w:rsidP="00EB1B71">
      <w:pPr>
        <w:rPr>
          <w:b/>
          <w:bCs/>
        </w:rPr>
      </w:pPr>
    </w:p>
    <w:p w14:paraId="6B1A9778" w14:textId="1E6251EE" w:rsidR="00EB1B71" w:rsidRPr="00EB1B71" w:rsidRDefault="00EB1B71" w:rsidP="00EB1B71">
      <w:pPr>
        <w:pStyle w:val="a6"/>
        <w:numPr>
          <w:ilvl w:val="0"/>
          <w:numId w:val="1"/>
        </w:numPr>
        <w:rPr>
          <w:b/>
          <w:bCs/>
        </w:rPr>
      </w:pPr>
      <w:r w:rsidRPr="00EB1B71">
        <w:rPr>
          <w:b/>
          <w:bCs/>
        </w:rPr>
        <w:t>Ανθρώπινοι Πόροι (ανά 100.000 κατοίκους)</w:t>
      </w:r>
    </w:p>
    <w:p w14:paraId="7631BC6B" w14:textId="77777777" w:rsidR="00EB1B71" w:rsidRPr="00E82BA0" w:rsidRDefault="00EB1B71" w:rsidP="00EB1B71"/>
    <w:p w14:paraId="6D164F60" w14:textId="77777777" w:rsidR="00EB1B71" w:rsidRPr="00E82BA0" w:rsidRDefault="00EB1B71" w:rsidP="00EB1B71">
      <w:pPr>
        <w:rPr>
          <w:i/>
          <w:iCs/>
        </w:rPr>
      </w:pPr>
      <w:r w:rsidRPr="00E82BA0">
        <w:rPr>
          <w:i/>
          <w:iCs/>
        </w:rPr>
        <w:t>Επαγγελματίες δικαστές:</w:t>
      </w:r>
    </w:p>
    <w:p w14:paraId="0BF0157B" w14:textId="77777777" w:rsidR="00EB1B71" w:rsidRPr="004E6798" w:rsidRDefault="00EB1B71" w:rsidP="00EB1B71">
      <w:pPr>
        <w:rPr>
          <w:b/>
          <w:bCs/>
        </w:rPr>
      </w:pPr>
      <w:r w:rsidRPr="004E6798">
        <w:rPr>
          <w:b/>
          <w:bCs/>
        </w:rPr>
        <w:t>- 2022: Ελλάδα: 37,3 | Διάμεση τιμή Συμβουλίου της Ευρώπης: 17,6</w:t>
      </w:r>
    </w:p>
    <w:p w14:paraId="1474D00D" w14:textId="77777777" w:rsidR="00EB1B71" w:rsidRPr="004E6798" w:rsidRDefault="00EB1B71" w:rsidP="00EB1B71">
      <w:pPr>
        <w:rPr>
          <w:b/>
          <w:bCs/>
        </w:rPr>
      </w:pPr>
      <w:r w:rsidRPr="004E6798">
        <w:rPr>
          <w:b/>
          <w:bCs/>
        </w:rPr>
        <w:t>- 2012: Ελλάδα: 23,3 | Διάμεση τιμή Συμβουλίου της Ευρώπης: 17,7</w:t>
      </w:r>
    </w:p>
    <w:p w14:paraId="605E3752" w14:textId="77777777" w:rsidR="00EB1B71" w:rsidRPr="00E82BA0" w:rsidRDefault="00EB1B71" w:rsidP="00EB1B71"/>
    <w:p w14:paraId="197D3243" w14:textId="77777777" w:rsidR="00EB1B71" w:rsidRPr="00E82BA0" w:rsidRDefault="00EB1B71" w:rsidP="00EB1B71">
      <w:pPr>
        <w:rPr>
          <w:i/>
          <w:iCs/>
        </w:rPr>
      </w:pPr>
      <w:r w:rsidRPr="00E82BA0">
        <w:rPr>
          <w:i/>
          <w:iCs/>
        </w:rPr>
        <w:t>Μη δικαστικό προσωπικό:</w:t>
      </w:r>
    </w:p>
    <w:p w14:paraId="72FDF646" w14:textId="77777777" w:rsidR="00EB1B71" w:rsidRPr="004E6798" w:rsidRDefault="00EB1B71" w:rsidP="00EB1B71">
      <w:pPr>
        <w:rPr>
          <w:b/>
          <w:bCs/>
        </w:rPr>
      </w:pPr>
      <w:r w:rsidRPr="004E6798">
        <w:rPr>
          <w:b/>
          <w:bCs/>
        </w:rPr>
        <w:t>- 2022: Ελλάδα: 44,7 | Διάμεση τιμή Συμβουλίου της Ευρώπης: 57,9</w:t>
      </w:r>
    </w:p>
    <w:p w14:paraId="13DDD5A4" w14:textId="77777777" w:rsidR="00EB1B71" w:rsidRPr="00E82BA0" w:rsidRDefault="00EB1B71" w:rsidP="00EB1B71">
      <w:r w:rsidRPr="00E82BA0">
        <w:t>- 2012: Ελλάδα: 48,2 | Διάμεση τιμή Συμβουλίου της Ευρώπης: 54,8</w:t>
      </w:r>
    </w:p>
    <w:p w14:paraId="4059B1F2" w14:textId="77777777" w:rsidR="00EB1B71" w:rsidRPr="00E82BA0" w:rsidRDefault="00EB1B71" w:rsidP="00EB1B71"/>
    <w:p w14:paraId="4C0C61B0" w14:textId="77777777" w:rsidR="00EB1B71" w:rsidRPr="00E82BA0" w:rsidRDefault="00EB1B71" w:rsidP="00EB1B71">
      <w:pPr>
        <w:rPr>
          <w:i/>
          <w:iCs/>
        </w:rPr>
      </w:pPr>
      <w:r w:rsidRPr="00E82BA0">
        <w:rPr>
          <w:i/>
          <w:iCs/>
        </w:rPr>
        <w:t>Εισαγγελείς:</w:t>
      </w:r>
    </w:p>
    <w:p w14:paraId="120C6F70" w14:textId="77777777" w:rsidR="00EB1B71" w:rsidRPr="00E82BA0" w:rsidRDefault="00EB1B71" w:rsidP="00EB1B71">
      <w:r w:rsidRPr="00E82BA0">
        <w:t>- 2022: Ελλάδα: 5,7 | Διάμεση τιμή Συμβουλίου της Ευρώπης: 11,2</w:t>
      </w:r>
    </w:p>
    <w:p w14:paraId="021BCEA5" w14:textId="77777777" w:rsidR="00EB1B71" w:rsidRPr="00E82BA0" w:rsidRDefault="00EB1B71" w:rsidP="00EB1B71">
      <w:r w:rsidRPr="00E82BA0">
        <w:t>- 2012: Ελλάδα: 5,0 | Διάμεση τιμή Συμβουλίου της Ευρώπης: 10,4</w:t>
      </w:r>
    </w:p>
    <w:p w14:paraId="7FD330D5" w14:textId="77777777" w:rsidR="00EB1B71" w:rsidRPr="00E82BA0" w:rsidRDefault="00EB1B71" w:rsidP="00EB1B71"/>
    <w:p w14:paraId="6405519E" w14:textId="77777777" w:rsidR="00EB1B71" w:rsidRPr="00E82BA0" w:rsidRDefault="00EB1B71" w:rsidP="00EB1B71">
      <w:pPr>
        <w:rPr>
          <w:i/>
          <w:iCs/>
        </w:rPr>
      </w:pPr>
      <w:r w:rsidRPr="00E82BA0">
        <w:rPr>
          <w:i/>
          <w:iCs/>
        </w:rPr>
        <w:t>Μη εισαγγελικό προσωπικό:</w:t>
      </w:r>
    </w:p>
    <w:p w14:paraId="3B18FD14" w14:textId="77777777" w:rsidR="00EB1B71" w:rsidRPr="00E82BA0" w:rsidRDefault="00EB1B71" w:rsidP="00EB1B71">
      <w:r w:rsidRPr="00E82BA0">
        <w:t>- 2022: Ελλάδα: 14,7 | Διάμεση τιμή Συμβουλίου της Ευρώπης: 14,7</w:t>
      </w:r>
    </w:p>
    <w:p w14:paraId="48B1CA92" w14:textId="77777777" w:rsidR="00EB1B71" w:rsidRDefault="00EB1B71" w:rsidP="00EB1B71">
      <w:r w:rsidRPr="00E82BA0">
        <w:t>- 2012: Ελλάδα: Μη διαθέσιμο | Διάμεση τιμή Συμβουλίου της Ευρώπης: 14,1</w:t>
      </w:r>
    </w:p>
    <w:p w14:paraId="0285B518" w14:textId="77777777" w:rsidR="00991570" w:rsidRDefault="00991570" w:rsidP="00EB1B71"/>
    <w:p w14:paraId="16E71439" w14:textId="77777777" w:rsidR="00991570" w:rsidRDefault="00991570" w:rsidP="00EB1B71"/>
    <w:p w14:paraId="1A66267C" w14:textId="40B99E96" w:rsidR="00991570" w:rsidRPr="00991570" w:rsidRDefault="00991570" w:rsidP="00991570">
      <w:pPr>
        <w:pStyle w:val="a6"/>
        <w:numPr>
          <w:ilvl w:val="0"/>
          <w:numId w:val="1"/>
        </w:numPr>
        <w:rPr>
          <w:b/>
          <w:bCs/>
        </w:rPr>
      </w:pPr>
      <w:r w:rsidRPr="00991570">
        <w:rPr>
          <w:b/>
          <w:bCs/>
        </w:rPr>
        <w:t>Ρυθμός Εκκαθάρισης:</w:t>
      </w:r>
    </w:p>
    <w:p w14:paraId="5BDF12C6" w14:textId="77777777" w:rsidR="00991570" w:rsidRPr="00E82BA0" w:rsidRDefault="00991570" w:rsidP="00991570"/>
    <w:p w14:paraId="17E02AD2" w14:textId="77777777" w:rsidR="00991570" w:rsidRPr="00E82BA0" w:rsidRDefault="00991570" w:rsidP="00991570">
      <w:pPr>
        <w:rPr>
          <w:i/>
          <w:iCs/>
        </w:rPr>
      </w:pPr>
      <w:r w:rsidRPr="00E82BA0">
        <w:rPr>
          <w:i/>
          <w:iCs/>
        </w:rPr>
        <w:t>Αστικές υποθέσεις:</w:t>
      </w:r>
    </w:p>
    <w:p w14:paraId="0DD77B8E" w14:textId="77777777" w:rsidR="00991570" w:rsidRPr="004E6798" w:rsidRDefault="00991570" w:rsidP="00991570">
      <w:pPr>
        <w:rPr>
          <w:b/>
          <w:bCs/>
        </w:rPr>
      </w:pPr>
      <w:r w:rsidRPr="004E6798">
        <w:rPr>
          <w:b/>
          <w:bCs/>
        </w:rPr>
        <w:t>1ος βαθμός: 93% (Διάμεση τιμή Συμβουλίου της Ευρώπης: 99%)</w:t>
      </w:r>
    </w:p>
    <w:p w14:paraId="1EABB215" w14:textId="77777777" w:rsidR="00991570" w:rsidRPr="004E6798" w:rsidRDefault="00991570" w:rsidP="00991570">
      <w:pPr>
        <w:rPr>
          <w:b/>
          <w:bCs/>
        </w:rPr>
      </w:pPr>
      <w:r w:rsidRPr="004E6798">
        <w:rPr>
          <w:b/>
          <w:bCs/>
        </w:rPr>
        <w:t>2ος βαθμός: 79% (Διάμεση τιμή Συμβουλίου της Ευρώπης: 99%)</w:t>
      </w:r>
    </w:p>
    <w:p w14:paraId="3BDB8BA6" w14:textId="77777777" w:rsidR="00991570" w:rsidRPr="00E82BA0" w:rsidRDefault="00991570" w:rsidP="00991570">
      <w:r w:rsidRPr="00E82BA0">
        <w:t>Ανώτατο Δικαστήριο: Μη διαθέσιμο (Διάμεση τιμή Συμβουλίου της Ευρώπης: 105%)</w:t>
      </w:r>
    </w:p>
    <w:p w14:paraId="708925BC" w14:textId="77777777" w:rsidR="00991570" w:rsidRPr="00E82BA0" w:rsidRDefault="00991570" w:rsidP="00991570"/>
    <w:p w14:paraId="5879939C" w14:textId="77777777" w:rsidR="00991570" w:rsidRPr="00E82BA0" w:rsidRDefault="00991570" w:rsidP="00991570">
      <w:pPr>
        <w:rPr>
          <w:i/>
          <w:iCs/>
        </w:rPr>
      </w:pPr>
      <w:r w:rsidRPr="00E82BA0">
        <w:rPr>
          <w:i/>
          <w:iCs/>
        </w:rPr>
        <w:t>Ποινικές υποθέσεις:</w:t>
      </w:r>
    </w:p>
    <w:p w14:paraId="4B209A51" w14:textId="77777777" w:rsidR="00991570" w:rsidRPr="004E6798" w:rsidRDefault="00991570" w:rsidP="00991570">
      <w:pPr>
        <w:rPr>
          <w:b/>
          <w:bCs/>
        </w:rPr>
      </w:pPr>
      <w:r w:rsidRPr="004E6798">
        <w:rPr>
          <w:b/>
          <w:bCs/>
        </w:rPr>
        <w:t>1ος βαθμός: 70% (Διάμεση τιμή Συμβουλίου της Ευρώπης: 99%)</w:t>
      </w:r>
    </w:p>
    <w:p w14:paraId="3CCCFCAD" w14:textId="77777777" w:rsidR="00991570" w:rsidRPr="004E6798" w:rsidRDefault="00991570" w:rsidP="00991570">
      <w:pPr>
        <w:rPr>
          <w:b/>
          <w:bCs/>
        </w:rPr>
      </w:pPr>
      <w:r w:rsidRPr="004E6798">
        <w:rPr>
          <w:b/>
          <w:bCs/>
        </w:rPr>
        <w:t>2ος βαθμός: 64% (Διάμεση τιμή Συμβουλίου της Ευρώπης: 99%)</w:t>
      </w:r>
    </w:p>
    <w:p w14:paraId="1F065E3A" w14:textId="77777777" w:rsidR="00991570" w:rsidRPr="00E82BA0" w:rsidRDefault="00991570" w:rsidP="00991570">
      <w:r w:rsidRPr="00E82BA0">
        <w:t>Ανώτατο Δικαστήριο: 84% (Διάμεση τιμή Συμβουλίου της Ευρώπης: 100%)</w:t>
      </w:r>
    </w:p>
    <w:p w14:paraId="5259A7B1" w14:textId="77777777" w:rsidR="00991570" w:rsidRPr="00E82BA0" w:rsidRDefault="00991570" w:rsidP="00991570"/>
    <w:p w14:paraId="54831C39" w14:textId="77777777" w:rsidR="00991570" w:rsidRPr="00E82BA0" w:rsidRDefault="00991570" w:rsidP="00991570">
      <w:pPr>
        <w:rPr>
          <w:i/>
          <w:iCs/>
        </w:rPr>
      </w:pPr>
      <w:r w:rsidRPr="00E82BA0">
        <w:rPr>
          <w:i/>
          <w:iCs/>
        </w:rPr>
        <w:t>Διοικητικές υποθέσεις:</w:t>
      </w:r>
    </w:p>
    <w:p w14:paraId="44DE9844" w14:textId="77777777" w:rsidR="00991570" w:rsidRPr="00E82BA0" w:rsidRDefault="00991570" w:rsidP="00991570">
      <w:r w:rsidRPr="00E82BA0">
        <w:t>1ος βαθμός: 127% (Διάμεση τιμή Συμβουλίου της Ευρώπης: 98%)</w:t>
      </w:r>
    </w:p>
    <w:p w14:paraId="2A842F36" w14:textId="77777777" w:rsidR="00991570" w:rsidRPr="00E82BA0" w:rsidRDefault="00991570" w:rsidP="00991570">
      <w:r w:rsidRPr="00E82BA0">
        <w:t>2ος βαθμός: 107% (Διάμεση τιμή Συμβουλίου της Ευρώπης: 103%)</w:t>
      </w:r>
    </w:p>
    <w:p w14:paraId="2C140189" w14:textId="77777777" w:rsidR="00991570" w:rsidRDefault="00991570" w:rsidP="00991570">
      <w:r w:rsidRPr="00E82BA0">
        <w:t>Ανώτατο Δικαστήριο: 115% (Διάμεση τιμή Συμβουλίου της Ευρώπης: 102%)</w:t>
      </w:r>
    </w:p>
    <w:p w14:paraId="60232D18" w14:textId="77777777" w:rsidR="00991570" w:rsidRDefault="00991570" w:rsidP="00991570"/>
    <w:p w14:paraId="3D85196A" w14:textId="77777777" w:rsidR="00991570" w:rsidRPr="00E82BA0" w:rsidRDefault="00991570" w:rsidP="00991570">
      <w:r w:rsidRPr="004E6798">
        <w:rPr>
          <w:u w:val="single"/>
        </w:rPr>
        <w:t>Σημείωση</w:t>
      </w:r>
      <w:r>
        <w:t xml:space="preserve">: </w:t>
      </w:r>
      <w:r w:rsidRPr="00E82BA0">
        <w:t>Ρυθμός Εκκαθάρισης (CR) = (Διεκπεραιωθείσες υποθέσεις / Εισερχόμενες υποθέσεις) * 100</w:t>
      </w:r>
    </w:p>
    <w:p w14:paraId="362CD4DF" w14:textId="77777777" w:rsidR="00991570" w:rsidRPr="00E82BA0" w:rsidRDefault="00991570" w:rsidP="00991570">
      <w:r w:rsidRPr="00E82BA0">
        <w:t>CR &gt; 100%: το δικαστήριο/δικαστικό σύστημα μπορεί να διεκπεραιώσει  περισσότερες υποθέσεις από όσες εισέρευσαν =&gt; ο όγκος συσσωρευμένων υποθέσεων μειώνεται</w:t>
      </w:r>
    </w:p>
    <w:p w14:paraId="26B87ADA" w14:textId="14F687E3" w:rsidR="001341C9" w:rsidRDefault="00991570" w:rsidP="00991570">
      <w:r w:rsidRPr="00E82BA0">
        <w:t>CR &lt; 100%: το δικαστήριο/δικαστικό σύστημα μπορεί να διεκπεραιώσει  λιγότερες υποθέσεις από όσες εισέρευσαν =&gt; ο όγκος συσσωρευμένων υποθέσεων αυξάνεται</w:t>
      </w:r>
      <w:r w:rsidR="004E6798">
        <w:t>.</w:t>
      </w:r>
    </w:p>
    <w:p w14:paraId="3F37AE36" w14:textId="039852F5" w:rsidR="00AE3785" w:rsidRDefault="00AE3785" w:rsidP="00991570"/>
    <w:p w14:paraId="05B32D97" w14:textId="77777777" w:rsidR="00AA244E" w:rsidRDefault="00AA244E" w:rsidP="00991570"/>
    <w:p w14:paraId="56377FE1" w14:textId="693206B1" w:rsidR="001341C9" w:rsidRPr="004E6798" w:rsidRDefault="00AE3785" w:rsidP="00991570">
      <w:pPr>
        <w:rPr>
          <w:b/>
          <w:bCs/>
          <w:u w:val="single"/>
        </w:rPr>
      </w:pPr>
      <w:r w:rsidRPr="004E6798">
        <w:rPr>
          <w:b/>
          <w:bCs/>
          <w:u w:val="single"/>
        </w:rPr>
        <w:t xml:space="preserve">Πίνακες </w:t>
      </w:r>
    </w:p>
    <w:p w14:paraId="419EEEED" w14:textId="77777777" w:rsidR="00AE3785" w:rsidRDefault="00AE3785" w:rsidP="00991570"/>
    <w:p w14:paraId="42B70E03" w14:textId="03A15825" w:rsidR="00AE3785" w:rsidRPr="00E82BA0" w:rsidRDefault="00AE3785" w:rsidP="00EB1B71">
      <w:r>
        <w:rPr>
          <w:noProof/>
          <w:lang w:eastAsia="el-GR"/>
        </w:rPr>
        <w:drawing>
          <wp:inline distT="0" distB="0" distL="0" distR="0" wp14:anchorId="5FBF28C1" wp14:editId="5546D748">
            <wp:extent cx="5274310" cy="1405890"/>
            <wp:effectExtent l="0" t="0" r="0" b="3810"/>
            <wp:docPr id="1281028811" name="Εικόνα 1" descr="Εικόνα που περιέχει κείμενο, στιγμιότυπο οθόνης, αριθμό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28811" name="Εικόνα 1" descr="Εικόνα που περιέχει κείμενο, στιγμιότυπο οθόνης, αριθμός, γραμμή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2701F" w14:textId="77777777" w:rsidR="00EB1B71" w:rsidRDefault="00EB1B71" w:rsidP="00EB1B71">
      <w:pPr>
        <w:jc w:val="both"/>
      </w:pPr>
    </w:p>
    <w:p w14:paraId="1E66577A" w14:textId="77777777" w:rsidR="00AE3785" w:rsidRDefault="00AE3785" w:rsidP="00EB1B71">
      <w:pPr>
        <w:jc w:val="both"/>
      </w:pPr>
      <w:r>
        <w:rPr>
          <w:noProof/>
          <w:lang w:eastAsia="el-GR"/>
        </w:rPr>
        <w:drawing>
          <wp:inline distT="0" distB="0" distL="0" distR="0" wp14:anchorId="4371D396" wp14:editId="3D6B37C2">
            <wp:extent cx="5274310" cy="750570"/>
            <wp:effectExtent l="0" t="0" r="0" b="0"/>
            <wp:docPr id="115754018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40183" name="Εικόνα 11575401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8F5B0" w14:textId="77777777" w:rsidR="00AE3785" w:rsidRDefault="00AE3785" w:rsidP="00EB1B71">
      <w:pPr>
        <w:jc w:val="both"/>
      </w:pPr>
    </w:p>
    <w:p w14:paraId="340BD287" w14:textId="77777777" w:rsidR="00AE3785" w:rsidRDefault="00AE3785" w:rsidP="00EB1B71">
      <w:pPr>
        <w:jc w:val="both"/>
      </w:pPr>
      <w:r>
        <w:rPr>
          <w:noProof/>
          <w:lang w:eastAsia="el-GR"/>
        </w:rPr>
        <w:lastRenderedPageBreak/>
        <w:drawing>
          <wp:inline distT="0" distB="0" distL="0" distR="0" wp14:anchorId="568B1C85" wp14:editId="54AF36A6">
            <wp:extent cx="5274310" cy="3764280"/>
            <wp:effectExtent l="0" t="0" r="0" b="0"/>
            <wp:docPr id="2078466216" name="Εικόνα 4" descr="Εικόνα που περιέχει κείμενο, στιγμιότυπο οθόνης, λογισμικό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66216" name="Εικόνα 4" descr="Εικόνα που περιέχει κείμενο, στιγμιότυπο οθόνης, λογισμικό, ιστοσελίδα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12061" w14:textId="77777777" w:rsidR="00AE3785" w:rsidRDefault="00AE3785" w:rsidP="00EB1B71">
      <w:pPr>
        <w:jc w:val="both"/>
      </w:pPr>
    </w:p>
    <w:bookmarkEnd w:id="0"/>
    <w:p w14:paraId="1F7BA39F" w14:textId="6247E804" w:rsidR="00EB1B71" w:rsidRDefault="00EB1B71" w:rsidP="00EB1B71">
      <w:pPr>
        <w:jc w:val="both"/>
      </w:pPr>
    </w:p>
    <w:sectPr w:rsidR="00EB1B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5ED"/>
    <w:multiLevelType w:val="hybridMultilevel"/>
    <w:tmpl w:val="2BFE1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807C5"/>
    <w:multiLevelType w:val="hybridMultilevel"/>
    <w:tmpl w:val="BB9E53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71"/>
    <w:rsid w:val="000C0DBA"/>
    <w:rsid w:val="001341C9"/>
    <w:rsid w:val="001D5814"/>
    <w:rsid w:val="0029062C"/>
    <w:rsid w:val="004D7FE6"/>
    <w:rsid w:val="004E6798"/>
    <w:rsid w:val="007E38E5"/>
    <w:rsid w:val="00862B7A"/>
    <w:rsid w:val="00991570"/>
    <w:rsid w:val="00A76168"/>
    <w:rsid w:val="00AA244E"/>
    <w:rsid w:val="00AE3785"/>
    <w:rsid w:val="00B45ABE"/>
    <w:rsid w:val="00BF50FC"/>
    <w:rsid w:val="00D24F7B"/>
    <w:rsid w:val="00D40E47"/>
    <w:rsid w:val="00DD1336"/>
    <w:rsid w:val="00EB1B71"/>
    <w:rsid w:val="00F336CF"/>
    <w:rsid w:val="00F7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54FF"/>
  <w15:chartTrackingRefBased/>
  <w15:docId w15:val="{B308D95E-4992-7F4D-9E89-9F16FA1F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71"/>
  </w:style>
  <w:style w:type="paragraph" w:styleId="1">
    <w:name w:val="heading 1"/>
    <w:basedOn w:val="a"/>
    <w:next w:val="a"/>
    <w:link w:val="1Char"/>
    <w:uiPriority w:val="9"/>
    <w:qFormat/>
    <w:rsid w:val="00EB1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1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1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1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1B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1B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1B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1B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1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B1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B1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B1B7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B1B7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B1B7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B1B7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B1B7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B1B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B1B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B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1B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B1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1B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B1B7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1B7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1B7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1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B1B7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1B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Papadopoulos</dc:creator>
  <cp:keywords/>
  <dc:description/>
  <cp:lastModifiedBy>User</cp:lastModifiedBy>
  <cp:revision>2</cp:revision>
  <cp:lastPrinted>2024-10-25T05:19:00Z</cp:lastPrinted>
  <dcterms:created xsi:type="dcterms:W3CDTF">2024-10-25T10:25:00Z</dcterms:created>
  <dcterms:modified xsi:type="dcterms:W3CDTF">2024-10-25T10:25:00Z</dcterms:modified>
</cp:coreProperties>
</file>