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24" w:rsidRDefault="00C65224" w:rsidP="00196591">
      <w:pPr>
        <w:spacing w:line="360" w:lineRule="auto"/>
        <w:jc w:val="center"/>
        <w:rPr>
          <w:rFonts w:ascii="Times New Roman" w:hAnsi="Times New Roman" w:cs="Times New Roman"/>
          <w:b/>
          <w:sz w:val="24"/>
          <w:szCs w:val="24"/>
          <w:u w:val="single"/>
          <w:lang w:val="en-US"/>
        </w:rPr>
      </w:pPr>
      <w:r w:rsidRPr="000607EE">
        <w:rPr>
          <w:rFonts w:ascii="Times New Roman" w:hAnsi="Times New Roman" w:cs="Times New Roman"/>
          <w:b/>
          <w:sz w:val="24"/>
          <w:szCs w:val="24"/>
          <w:u w:val="single"/>
          <w:lang w:val="en-US"/>
        </w:rPr>
        <w:t>CCBE – C</w:t>
      </w:r>
      <w:r>
        <w:rPr>
          <w:rFonts w:ascii="Times New Roman" w:hAnsi="Times New Roman" w:cs="Times New Roman"/>
          <w:b/>
          <w:sz w:val="24"/>
          <w:szCs w:val="24"/>
          <w:u w:val="single"/>
          <w:lang w:val="en-US"/>
        </w:rPr>
        <w:t>riminal Law Committee meeting 21</w:t>
      </w:r>
      <w:r w:rsidRPr="000607EE">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lang w:val="en-US"/>
        </w:rPr>
        <w:t>February 2015</w:t>
      </w:r>
    </w:p>
    <w:p w:rsidR="00C65224" w:rsidRPr="00FB621E" w:rsidRDefault="00C65224" w:rsidP="00196591">
      <w:pPr>
        <w:spacing w:line="360" w:lineRule="auto"/>
        <w:jc w:val="both"/>
        <w:rPr>
          <w:rFonts w:ascii="Times New Roman" w:hAnsi="Times New Roman" w:cs="Times New Roman"/>
          <w:b/>
          <w:sz w:val="24"/>
          <w:szCs w:val="24"/>
          <w:lang w:val="en-US"/>
        </w:rPr>
      </w:pPr>
    </w:p>
    <w:p w:rsidR="00C65224" w:rsidRDefault="00C65224" w:rsidP="00196591">
      <w:pPr>
        <w:spacing w:line="360" w:lineRule="auto"/>
        <w:jc w:val="both"/>
        <w:rPr>
          <w:rFonts w:ascii="Times New Roman" w:hAnsi="Times New Roman" w:cs="Times New Roman"/>
          <w:b/>
          <w:sz w:val="24"/>
          <w:szCs w:val="24"/>
        </w:rPr>
      </w:pPr>
      <w:r w:rsidRPr="000607EE">
        <w:rPr>
          <w:rFonts w:ascii="Times New Roman" w:hAnsi="Times New Roman" w:cs="Times New Roman"/>
          <w:b/>
          <w:sz w:val="24"/>
          <w:szCs w:val="24"/>
        </w:rPr>
        <w:t>Συνοπτική Αναφορά σχετικά με τη συνεδρίαση τη</w:t>
      </w:r>
      <w:r>
        <w:rPr>
          <w:rFonts w:ascii="Times New Roman" w:hAnsi="Times New Roman" w:cs="Times New Roman"/>
          <w:b/>
          <w:sz w:val="24"/>
          <w:szCs w:val="24"/>
        </w:rPr>
        <w:t xml:space="preserve">ς Επιτροπής Ποινικού Δικαίου </w:t>
      </w:r>
      <w:r w:rsidRPr="000607EE">
        <w:rPr>
          <w:rFonts w:ascii="Times New Roman" w:hAnsi="Times New Roman" w:cs="Times New Roman"/>
          <w:b/>
          <w:sz w:val="24"/>
          <w:szCs w:val="24"/>
        </w:rPr>
        <w:t xml:space="preserve"> </w:t>
      </w:r>
      <w:r w:rsidRPr="000607EE">
        <w:rPr>
          <w:rFonts w:ascii="Times New Roman" w:hAnsi="Times New Roman" w:cs="Times New Roman"/>
          <w:b/>
          <w:sz w:val="24"/>
          <w:szCs w:val="24"/>
          <w:lang w:val="en-US"/>
        </w:rPr>
        <w:t>CCBE</w:t>
      </w:r>
      <w:r>
        <w:rPr>
          <w:rFonts w:ascii="Times New Roman" w:hAnsi="Times New Roman" w:cs="Times New Roman"/>
          <w:b/>
          <w:sz w:val="24"/>
          <w:szCs w:val="24"/>
        </w:rPr>
        <w:t xml:space="preserve"> στις </w:t>
      </w:r>
      <w:r w:rsidRPr="00C65224">
        <w:rPr>
          <w:rFonts w:ascii="Times New Roman" w:hAnsi="Times New Roman" w:cs="Times New Roman"/>
          <w:b/>
          <w:sz w:val="24"/>
          <w:szCs w:val="24"/>
        </w:rPr>
        <w:t>21</w:t>
      </w:r>
      <w:r w:rsidRPr="000607EE">
        <w:rPr>
          <w:rFonts w:ascii="Times New Roman" w:hAnsi="Times New Roman" w:cs="Times New Roman"/>
          <w:b/>
          <w:sz w:val="24"/>
          <w:szCs w:val="24"/>
        </w:rPr>
        <w:t xml:space="preserve"> </w:t>
      </w:r>
      <w:r>
        <w:rPr>
          <w:rFonts w:ascii="Times New Roman" w:hAnsi="Times New Roman" w:cs="Times New Roman"/>
          <w:b/>
          <w:sz w:val="24"/>
          <w:szCs w:val="24"/>
        </w:rPr>
        <w:t>Φεβρουαρίου 2015 στο Λονδίνο</w:t>
      </w:r>
    </w:p>
    <w:p w:rsidR="00C65224" w:rsidRDefault="00C65224" w:rsidP="00196591">
      <w:pPr>
        <w:pBdr>
          <w:bottom w:val="single" w:sz="12" w:space="1"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Συντάκτης: </w:t>
      </w:r>
      <w:r w:rsidRPr="003F2AF9">
        <w:rPr>
          <w:rFonts w:ascii="Times New Roman" w:hAnsi="Times New Roman" w:cs="Times New Roman"/>
          <w:b/>
          <w:sz w:val="24"/>
          <w:szCs w:val="24"/>
        </w:rPr>
        <w:t>Δημήτρης Αναστασόπουλος</w:t>
      </w:r>
      <w:r w:rsidRPr="000607EE">
        <w:rPr>
          <w:rFonts w:ascii="Times New Roman" w:hAnsi="Times New Roman" w:cs="Times New Roman"/>
          <w:sz w:val="24"/>
          <w:szCs w:val="24"/>
        </w:rPr>
        <w:t>, Σύμβουλος ΔΣΑ</w:t>
      </w:r>
    </w:p>
    <w:p w:rsidR="00015C27" w:rsidRDefault="00015C27" w:rsidP="00196591">
      <w:pPr>
        <w:spacing w:line="360" w:lineRule="auto"/>
        <w:jc w:val="both"/>
        <w:rPr>
          <w:rFonts w:ascii="Times New Roman" w:hAnsi="Times New Roman" w:cs="Times New Roman"/>
          <w:sz w:val="24"/>
          <w:szCs w:val="24"/>
        </w:rPr>
      </w:pPr>
    </w:p>
    <w:p w:rsidR="0061443F" w:rsidRDefault="0061443F" w:rsidP="00196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Στην Επιτροπή Ποινικού Δικαίου κατά τη συνεδρίαση της στις 21 Φεβρουαρίου 2015 στο Λονδίνο συζητήθηκαν, συνοπτικά, τα εξής θέματα:</w:t>
      </w:r>
    </w:p>
    <w:p w:rsidR="00083EAB" w:rsidRDefault="00083EAB" w:rsidP="00196591">
      <w:pPr>
        <w:spacing w:line="360" w:lineRule="auto"/>
        <w:jc w:val="both"/>
        <w:rPr>
          <w:rFonts w:ascii="Times New Roman" w:hAnsi="Times New Roman" w:cs="Times New Roman"/>
          <w:sz w:val="24"/>
          <w:szCs w:val="24"/>
        </w:rPr>
      </w:pPr>
    </w:p>
    <w:p w:rsidR="0061443F" w:rsidRDefault="0061443F" w:rsidP="00196591">
      <w:pPr>
        <w:spacing w:line="360" w:lineRule="auto"/>
        <w:jc w:val="both"/>
        <w:rPr>
          <w:rFonts w:ascii="Times New Roman" w:hAnsi="Times New Roman"/>
        </w:rPr>
      </w:pPr>
      <w:r w:rsidRPr="00083EAB">
        <w:rPr>
          <w:rFonts w:ascii="Times New Roman" w:hAnsi="Times New Roman" w:cs="Times New Roman"/>
          <w:b/>
          <w:sz w:val="24"/>
          <w:szCs w:val="24"/>
        </w:rPr>
        <w:t>Ι.</w:t>
      </w:r>
      <w:r>
        <w:rPr>
          <w:rFonts w:ascii="Times New Roman" w:hAnsi="Times New Roman" w:cs="Times New Roman"/>
          <w:sz w:val="24"/>
          <w:szCs w:val="24"/>
        </w:rPr>
        <w:t xml:space="preserve"> Σχετικά με την Οδηγία για τη νομική βοήθεια, κρίθηκε ότι η</w:t>
      </w:r>
      <w:r w:rsidR="00083EAB">
        <w:rPr>
          <w:rFonts w:ascii="Times New Roman" w:hAnsi="Times New Roman" w:cs="Times New Roman"/>
          <w:sz w:val="24"/>
          <w:szCs w:val="24"/>
        </w:rPr>
        <w:t xml:space="preserve"> συνταχθείσα Έκθεση του ειση</w:t>
      </w:r>
      <w:r>
        <w:rPr>
          <w:rFonts w:ascii="Times New Roman" w:hAnsi="Times New Roman" w:cs="Times New Roman"/>
          <w:sz w:val="24"/>
          <w:szCs w:val="24"/>
        </w:rPr>
        <w:t xml:space="preserve">γητή του Ε.Κ. </w:t>
      </w:r>
      <w:r>
        <w:rPr>
          <w:rFonts w:ascii="Times New Roman" w:hAnsi="Times New Roman" w:cs="Times New Roman"/>
          <w:sz w:val="24"/>
          <w:szCs w:val="24"/>
          <w:lang w:val="en-US"/>
        </w:rPr>
        <w:t>Denis</w:t>
      </w:r>
      <w:r w:rsidRPr="0061443F">
        <w:rPr>
          <w:rFonts w:ascii="Times New Roman" w:hAnsi="Times New Roman" w:cs="Times New Roman"/>
          <w:sz w:val="24"/>
          <w:szCs w:val="24"/>
        </w:rPr>
        <w:t xml:space="preserve"> </w:t>
      </w:r>
      <w:r>
        <w:rPr>
          <w:rFonts w:ascii="Times New Roman" w:hAnsi="Times New Roman" w:cs="Times New Roman"/>
          <w:sz w:val="24"/>
          <w:szCs w:val="24"/>
          <w:lang w:val="en-US"/>
        </w:rPr>
        <w:t>de</w:t>
      </w:r>
      <w:r w:rsidRPr="0061443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Jong</w:t>
      </w:r>
      <w:proofErr w:type="spellEnd"/>
      <w:r>
        <w:rPr>
          <w:rFonts w:ascii="Times New Roman" w:hAnsi="Times New Roman" w:cs="Times New Roman"/>
          <w:sz w:val="24"/>
          <w:szCs w:val="24"/>
        </w:rPr>
        <w:t xml:space="preserve"> ανταποκρίνεται σε σημαντικό βαθμό στις απαιτ</w:t>
      </w:r>
      <w:r w:rsidR="00083EAB">
        <w:rPr>
          <w:rFonts w:ascii="Times New Roman" w:hAnsi="Times New Roman" w:cs="Times New Roman"/>
          <w:sz w:val="24"/>
          <w:szCs w:val="24"/>
        </w:rPr>
        <w:t>ή</w:t>
      </w:r>
      <w:r>
        <w:rPr>
          <w:rFonts w:ascii="Times New Roman" w:hAnsi="Times New Roman" w:cs="Times New Roman"/>
          <w:sz w:val="24"/>
          <w:szCs w:val="24"/>
        </w:rPr>
        <w:t>σεις της Επιτροπής. Δύο βασικά σημεία διαφωνίας με την ως άνω Έκθεση αφορούν αφενός τον ορισμό του συνηγόρου νομικής βοήθειας, καθώς κατά την Επιτροπή δεν θα πρέπει να υφίσταται τέτοιος ορισμός, και αφετέρου την προτεινόμενη διαπίστευση των συνηγόρων νομικής βοήθειας, καθώς ομοίως κρίθηκε από την Επιτρ</w:t>
      </w:r>
      <w:r w:rsidR="00083EAB">
        <w:rPr>
          <w:rFonts w:ascii="Times New Roman" w:hAnsi="Times New Roman" w:cs="Times New Roman"/>
          <w:sz w:val="24"/>
          <w:szCs w:val="24"/>
        </w:rPr>
        <w:t>οπή ότι δεν θα πρέπει να προβλέπεται</w:t>
      </w:r>
      <w:r>
        <w:rPr>
          <w:rFonts w:ascii="Times New Roman" w:hAnsi="Times New Roman" w:cs="Times New Roman"/>
          <w:sz w:val="24"/>
          <w:szCs w:val="24"/>
        </w:rPr>
        <w:t xml:space="preserve"> στην Οδηγία.</w:t>
      </w:r>
      <w:r>
        <w:rPr>
          <w:rFonts w:ascii="Times New Roman" w:hAnsi="Times New Roman"/>
        </w:rPr>
        <w:t xml:space="preserve"> </w:t>
      </w:r>
      <w:r w:rsidR="001F75F4">
        <w:rPr>
          <w:rFonts w:ascii="Times New Roman" w:hAnsi="Times New Roman"/>
        </w:rPr>
        <w:t>Σε κάθε περίπτωση, προκειμένου να εξασφαλιστεί το επίπεδο της παρεχόμενης νομικής βοήθειας κρ</w:t>
      </w:r>
      <w:r w:rsidR="00083EAB">
        <w:rPr>
          <w:rFonts w:ascii="Times New Roman" w:hAnsi="Times New Roman"/>
        </w:rPr>
        <w:t>ίθηκε ότι θα πρέπει να συμμετέχουν σε αυτή εξειδικευμένοι ανά τομέα δικαίου συνηγόροι</w:t>
      </w:r>
      <w:r w:rsidR="001F75F4">
        <w:rPr>
          <w:rFonts w:ascii="Times New Roman" w:hAnsi="Times New Roman"/>
        </w:rPr>
        <w:t xml:space="preserve"> και να μην αντιμετωπίζεται ως μια διαδικαστική υποχρέωση.</w:t>
      </w:r>
      <w:r w:rsidR="001F75F4" w:rsidRPr="001F75F4">
        <w:rPr>
          <w:rFonts w:ascii="Times New Roman" w:hAnsi="Times New Roman"/>
        </w:rPr>
        <w:t xml:space="preserve"> </w:t>
      </w:r>
      <w:r>
        <w:rPr>
          <w:rFonts w:ascii="Times New Roman" w:hAnsi="Times New Roman"/>
        </w:rPr>
        <w:t>Παράλληλα, επισημάνθηκαν οι δυσκολίες εφαρμογής της στα κράτη μέλη. Αποφασίστηκε, δε, η αποστολή των παρατηρήσεων μας προς την Ευρωπαϊκή Επιτροπή.</w:t>
      </w:r>
    </w:p>
    <w:p w:rsidR="0061443F" w:rsidRDefault="0061443F" w:rsidP="00196591">
      <w:pPr>
        <w:spacing w:line="360" w:lineRule="auto"/>
        <w:jc w:val="both"/>
        <w:rPr>
          <w:rFonts w:ascii="Times New Roman" w:hAnsi="Times New Roman"/>
        </w:rPr>
      </w:pPr>
      <w:r w:rsidRPr="00083EAB">
        <w:rPr>
          <w:rFonts w:ascii="Times New Roman" w:hAnsi="Times New Roman"/>
          <w:b/>
        </w:rPr>
        <w:t>ΙΙ.</w:t>
      </w:r>
      <w:r>
        <w:rPr>
          <w:rFonts w:ascii="Times New Roman" w:hAnsi="Times New Roman"/>
        </w:rPr>
        <w:t xml:space="preserve"> </w:t>
      </w:r>
      <w:r w:rsidR="00196591">
        <w:rPr>
          <w:rFonts w:ascii="Times New Roman" w:hAnsi="Times New Roman"/>
        </w:rPr>
        <w:t>Σχετικά με τον Οδηγία για το τεκμήριο αθωότητας, τα μέλη της επιτροπής ενημερώθηκαν ότι οι παρατηρήσεις που είχαν αποσταλεί στην αρμόδια του Ε.Κ. έχουν ληφθεί υπόψη και θα συνεχιστεί η συνεργασία μας στην ίδια κατεύθυνση.</w:t>
      </w:r>
    </w:p>
    <w:p w:rsidR="00196591" w:rsidRDefault="00196591" w:rsidP="00196591">
      <w:pPr>
        <w:spacing w:line="360" w:lineRule="auto"/>
        <w:jc w:val="both"/>
        <w:rPr>
          <w:rFonts w:ascii="Times New Roman" w:hAnsi="Times New Roman"/>
        </w:rPr>
      </w:pPr>
      <w:r w:rsidRPr="00083EAB">
        <w:rPr>
          <w:rFonts w:ascii="Times New Roman" w:hAnsi="Times New Roman"/>
          <w:b/>
        </w:rPr>
        <w:t>ΙΙΙ.</w:t>
      </w:r>
      <w:r>
        <w:rPr>
          <w:rFonts w:ascii="Times New Roman" w:hAnsi="Times New Roman"/>
        </w:rPr>
        <w:t xml:space="preserve"> Αναφορικά με την προτεινόμενη Οδηγία για του ανήλικους που είναι ύποπτοι ή κατηγορούμενοι για ένα αδίκημα, το Ε.Κ. έχει καταλήξει σε μια συγκεκριμένη Αναφορά και οι διαβουλεύσεις ανάμεσα στα αρμόδια μέρη (Επιτροπή, Κοινοβούλιο και Συμβούλιο) αναμένεται να ξεκινήσουν την άνοιξη του 2015.</w:t>
      </w:r>
    </w:p>
    <w:p w:rsidR="00196591" w:rsidRPr="00C5656B" w:rsidRDefault="00196591" w:rsidP="001F75F4">
      <w:pPr>
        <w:spacing w:line="360" w:lineRule="auto"/>
        <w:jc w:val="both"/>
        <w:rPr>
          <w:rFonts w:ascii="Times New Roman" w:hAnsi="Times New Roman"/>
        </w:rPr>
      </w:pPr>
      <w:r w:rsidRPr="00083EAB">
        <w:rPr>
          <w:rFonts w:ascii="Times New Roman" w:hAnsi="Times New Roman"/>
          <w:b/>
        </w:rPr>
        <w:t>Ι</w:t>
      </w:r>
      <w:r w:rsidRPr="00083EAB">
        <w:rPr>
          <w:rFonts w:ascii="Times New Roman" w:hAnsi="Times New Roman"/>
          <w:b/>
          <w:lang w:val="en-US"/>
        </w:rPr>
        <w:t>V</w:t>
      </w:r>
      <w:r w:rsidRPr="00196591">
        <w:rPr>
          <w:rFonts w:ascii="Times New Roman" w:hAnsi="Times New Roman"/>
        </w:rPr>
        <w:t xml:space="preserve">. </w:t>
      </w:r>
      <w:r>
        <w:rPr>
          <w:rFonts w:ascii="Times New Roman" w:hAnsi="Times New Roman"/>
        </w:rPr>
        <w:t xml:space="preserve">Διεξοδικά συζητήθηκε το ζήτημα της παρακολούθησης των δικηγόρων και των επικοινωνιών τους με τους πελάτες τους. </w:t>
      </w:r>
      <w:r w:rsidR="00C5656B">
        <w:rPr>
          <w:rFonts w:ascii="Times New Roman" w:hAnsi="Times New Roman"/>
        </w:rPr>
        <w:t xml:space="preserve">Αναφέρθηκε ότι στις 13-1-2015 στην Ολομέλεια </w:t>
      </w:r>
      <w:r w:rsidR="00C5656B">
        <w:rPr>
          <w:rFonts w:ascii="Times New Roman" w:hAnsi="Times New Roman"/>
        </w:rPr>
        <w:lastRenderedPageBreak/>
        <w:t xml:space="preserve">του Ε.Κ. εκφράστηκαν έντονες ανησυχίες από τα κράτη μέλη σχετικά με την υποκλοπή των τηλεφωνικών επικοινωνιών των δικηγόρων με τους πελάτες τους από τις μυστικές υπηρεσίες διαφόρων χωρών της Ε.Ε., όπως είναι, σύμφωνα με στοιχεία της </w:t>
      </w:r>
      <w:r w:rsidR="00C5656B">
        <w:rPr>
          <w:rFonts w:ascii="Times New Roman" w:hAnsi="Times New Roman"/>
          <w:lang w:val="en-US"/>
        </w:rPr>
        <w:t>CCBE</w:t>
      </w:r>
      <w:r w:rsidR="00C5656B">
        <w:rPr>
          <w:rFonts w:ascii="Times New Roman" w:hAnsi="Times New Roman"/>
        </w:rPr>
        <w:t>, η Γαλλία, η Αγγλία, η Ιρλανδία, η Τσεχία, η Ολλανδία και η Λετονία.</w:t>
      </w:r>
    </w:p>
    <w:p w:rsidR="001F75F4" w:rsidRDefault="00C5656B" w:rsidP="00083EAB">
      <w:pPr>
        <w:spacing w:line="360" w:lineRule="auto"/>
        <w:jc w:val="both"/>
        <w:rPr>
          <w:rFonts w:ascii="Times New Roman" w:hAnsi="Times New Roman"/>
        </w:rPr>
      </w:pPr>
      <w:r>
        <w:rPr>
          <w:rFonts w:ascii="Times New Roman" w:hAnsi="Times New Roman"/>
        </w:rPr>
        <w:t xml:space="preserve">      Η Επιτροπή κατέγραψε την έντονη διαφονία της σε οποιαδήποτε εξαίρεση από την εμπιστευτικότητα που πρέπει να υπάρχει ανάμεσα στο δικηγόρο και τον πελάτη του, όπως η προωθούμενη από την Ε.Ε. σε περιπτώσεις εθνικής ασφάλειας, διατυπώντονας την άποψη ότι το δικαίωμα αυτό πρέπει να είναι απόλυτο και δεν μπορεί αν περιορίζεται ούτε και προσωρινώς. Αποφασίστηκε η συνεχής συνεργασία με την Ε.Ε. ως προς το συγκεκριμένο ζήτημα και η εποπτεία μας στις προωθούμενες αλλαγές.</w:t>
      </w:r>
    </w:p>
    <w:p w:rsidR="001F75F4" w:rsidRDefault="00C5656B" w:rsidP="001F75F4">
      <w:pPr>
        <w:spacing w:line="360" w:lineRule="auto"/>
        <w:jc w:val="both"/>
        <w:rPr>
          <w:rFonts w:ascii="Times New Roman" w:hAnsi="Times New Roman"/>
        </w:rPr>
      </w:pPr>
      <w:r w:rsidRPr="00083EAB">
        <w:rPr>
          <w:rFonts w:ascii="Times New Roman" w:hAnsi="Times New Roman"/>
          <w:b/>
          <w:lang w:val="en-US"/>
        </w:rPr>
        <w:t>V</w:t>
      </w:r>
      <w:r w:rsidRPr="00083EAB">
        <w:rPr>
          <w:rFonts w:ascii="Times New Roman" w:hAnsi="Times New Roman"/>
          <w:b/>
        </w:rPr>
        <w:t>.</w:t>
      </w:r>
      <w:r w:rsidRPr="001F75F4">
        <w:rPr>
          <w:rFonts w:ascii="Times New Roman" w:hAnsi="Times New Roman"/>
        </w:rPr>
        <w:t xml:space="preserve"> </w:t>
      </w:r>
      <w:r w:rsidR="001F75F4">
        <w:rPr>
          <w:rFonts w:ascii="Times New Roman" w:hAnsi="Times New Roman"/>
        </w:rPr>
        <w:t>Κατόπι</w:t>
      </w:r>
      <w:r w:rsidR="00083EAB">
        <w:rPr>
          <w:rFonts w:ascii="Times New Roman" w:hAnsi="Times New Roman"/>
        </w:rPr>
        <w:t>ν αιτήματος του</w:t>
      </w:r>
      <w:r w:rsidR="001F75F4">
        <w:rPr>
          <w:rFonts w:ascii="Times New Roman" w:hAnsi="Times New Roman"/>
        </w:rPr>
        <w:t xml:space="preserve"> εκπροσώπου της βελγικής αντιπροσωπείας, συζητήθηκε το ζήτημα της θέσης που πρέπει να καταλαμβάνει ο Εισαγγελέας μέσα στη δικαστική αίθουσα, καθώς στο Βέλγιο η θέση του είναι στην ίδια πλευρά με το δικαστή, κάτι που όμως δημιουργεί λανθασμένες εντυπώσεις ως προς τη διάκριση των δύο αυτών παραγόντων της δίκης και την αμεροληψία τους. Αναφέρθηκε, μάλιστα, ότι το ίδιο συμβαίνει και σε άλλες χώρες, όπως άλλωστε και στην Ελλάδα, ενώ επισημάνθηκε ότι το πρόβλημα εντείνεται έτι περαιτέρω από το γεγονός ότι εισέρχονται και εξέρχονται μαζί στη δικαστική αίθουσα.</w:t>
      </w:r>
    </w:p>
    <w:p w:rsidR="001F75F4" w:rsidRDefault="001F75F4" w:rsidP="001F75F4">
      <w:pPr>
        <w:spacing w:line="360" w:lineRule="auto"/>
        <w:jc w:val="both"/>
        <w:rPr>
          <w:rFonts w:ascii="Times New Roman" w:hAnsi="Times New Roman"/>
        </w:rPr>
      </w:pPr>
      <w:r>
        <w:rPr>
          <w:rFonts w:ascii="Times New Roman" w:hAnsi="Times New Roman"/>
        </w:rPr>
        <w:t xml:space="preserve">Η Επιτροπή δεσμεύτηκε στην επόμενη τοποθέτηση της ως προς την ευρωπαϊκή εισαγγελική αρχή να </w:t>
      </w:r>
      <w:r w:rsidR="00083EAB">
        <w:rPr>
          <w:rFonts w:ascii="Times New Roman" w:hAnsi="Times New Roman"/>
        </w:rPr>
        <w:t xml:space="preserve">εκφράσει την άποψη της για </w:t>
      </w:r>
      <w:r>
        <w:rPr>
          <w:rFonts w:ascii="Times New Roman" w:hAnsi="Times New Roman"/>
        </w:rPr>
        <w:t xml:space="preserve">το ζήτημα αυτό, επικεντρώνοντας στην αρχή της ισότητας των όπλων, η οποία σχετίζεται και με την παρουσία του εισαγγελέα στην αίθουσα του δικαστήριου, κατά τα ανωτέρω. </w:t>
      </w:r>
    </w:p>
    <w:p w:rsidR="001F75F4" w:rsidRDefault="001F75F4" w:rsidP="001F75F4">
      <w:pPr>
        <w:spacing w:line="360" w:lineRule="auto"/>
        <w:jc w:val="both"/>
        <w:rPr>
          <w:rFonts w:ascii="Times New Roman" w:hAnsi="Times New Roman"/>
        </w:rPr>
      </w:pPr>
      <w:r w:rsidRPr="00083EAB">
        <w:rPr>
          <w:rFonts w:ascii="Times New Roman" w:hAnsi="Times New Roman"/>
          <w:b/>
          <w:lang w:val="en-US"/>
        </w:rPr>
        <w:t>VI</w:t>
      </w:r>
      <w:r w:rsidRPr="001F75F4">
        <w:rPr>
          <w:rFonts w:ascii="Times New Roman" w:hAnsi="Times New Roman"/>
        </w:rPr>
        <w:t>. Τ</w:t>
      </w:r>
      <w:r>
        <w:rPr>
          <w:rFonts w:ascii="Times New Roman" w:hAnsi="Times New Roman"/>
        </w:rPr>
        <w:t>έλ</w:t>
      </w:r>
      <w:r w:rsidR="00083EAB">
        <w:rPr>
          <w:rFonts w:ascii="Times New Roman" w:hAnsi="Times New Roman"/>
        </w:rPr>
        <w:t xml:space="preserve">ος, σχετικά με τις διατάξεις ως προς το δικαίωμα των κατηγορουμένων σε διερμηνεία και μετάφραση στο πλαίσιο των ποινικών διαδικασιών, το δικαίωμα ενημέρωσης και το δικαίωμα πρόσβασης σε δικηγόρο, όπως είχαν συζητηθεί τα ζητήματα αυτά και κατά την προηγούμενη συνεδρίαση της επιτροπής, αναμένουμε νεότερα από την Ε.Ε. </w:t>
      </w:r>
    </w:p>
    <w:p w:rsidR="00083EAB" w:rsidRPr="00083EAB" w:rsidRDefault="00083EAB" w:rsidP="001F75F4">
      <w:pPr>
        <w:spacing w:line="360" w:lineRule="auto"/>
        <w:jc w:val="both"/>
        <w:rPr>
          <w:rFonts w:ascii="Times New Roman" w:hAnsi="Times New Roman"/>
        </w:rPr>
      </w:pPr>
      <w:r>
        <w:rPr>
          <w:rFonts w:ascii="Times New Roman" w:hAnsi="Times New Roman"/>
        </w:rPr>
        <w:t xml:space="preserve">       Ως προς το σχέδιο για το ευρωπαϊκό ένταλμα σύλληψης, η </w:t>
      </w:r>
      <w:r>
        <w:rPr>
          <w:rFonts w:ascii="Times New Roman" w:hAnsi="Times New Roman"/>
          <w:lang w:val="en-US"/>
        </w:rPr>
        <w:t>CCBE</w:t>
      </w:r>
      <w:r>
        <w:rPr>
          <w:rFonts w:ascii="Times New Roman" w:hAnsi="Times New Roman"/>
        </w:rPr>
        <w:t xml:space="preserve"> σκοπεύει να υποβάλει αίτημα για την αξιολόγηση του Ε.Ε.Σ, από τη σκοπιά της υπεράσπισης και του κατηγορουμένου. Εκτενέστερα, όμως, το συγκεκριμένο ζήτημα θα συζητηθεί στην επόμενη συνεδρίαση της επιτροπής. </w:t>
      </w:r>
    </w:p>
    <w:p w:rsidR="001F75F4" w:rsidRPr="001F75F4" w:rsidRDefault="001F75F4" w:rsidP="001F75F4">
      <w:pPr>
        <w:spacing w:line="360" w:lineRule="auto"/>
        <w:jc w:val="both"/>
        <w:rPr>
          <w:rFonts w:ascii="Times New Roman" w:hAnsi="Times New Roman"/>
        </w:rPr>
      </w:pPr>
    </w:p>
    <w:p w:rsidR="001F75F4" w:rsidRPr="001F75F4" w:rsidRDefault="001F75F4" w:rsidP="001F75F4">
      <w:pPr>
        <w:spacing w:line="360" w:lineRule="auto"/>
        <w:jc w:val="both"/>
        <w:rPr>
          <w:rFonts w:ascii="Times New Roman" w:hAnsi="Times New Roman"/>
        </w:rPr>
      </w:pPr>
    </w:p>
    <w:p w:rsidR="00C5656B" w:rsidRPr="00196591" w:rsidRDefault="00C5656B" w:rsidP="00C5656B">
      <w:pPr>
        <w:jc w:val="both"/>
        <w:rPr>
          <w:rFonts w:ascii="Times New Roman" w:hAnsi="Times New Roman"/>
        </w:rPr>
      </w:pPr>
    </w:p>
    <w:sectPr w:rsidR="00C5656B" w:rsidRPr="00196591" w:rsidSect="00015C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C2EC6"/>
    <w:multiLevelType w:val="hybridMultilevel"/>
    <w:tmpl w:val="6C6A7E28"/>
    <w:lvl w:ilvl="0" w:tplc="F54C1D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224"/>
    <w:rsid w:val="00015C27"/>
    <w:rsid w:val="00083EAB"/>
    <w:rsid w:val="00160A14"/>
    <w:rsid w:val="00196591"/>
    <w:rsid w:val="001F75F4"/>
    <w:rsid w:val="0061409A"/>
    <w:rsid w:val="0061443F"/>
    <w:rsid w:val="00C5656B"/>
    <w:rsid w:val="00C652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91"/>
    <w:pPr>
      <w:spacing w:line="240" w:lineRule="auto"/>
      <w:ind w:left="720"/>
      <w:contextualSpacing/>
    </w:pPr>
    <w:rPr>
      <w:rFonts w:ascii="Cambria" w:eastAsia="Cambria" w:hAnsi="Cambria"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53D2-C1F5-4BE2-B8E5-B9971584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cosmote</dc:creator>
  <cp:lastModifiedBy>cosmote</cp:lastModifiedBy>
  <cp:revision>2</cp:revision>
  <dcterms:created xsi:type="dcterms:W3CDTF">2015-05-24T17:51:00Z</dcterms:created>
  <dcterms:modified xsi:type="dcterms:W3CDTF">2015-05-24T17:51:00Z</dcterms:modified>
</cp:coreProperties>
</file>