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6A" w:rsidRPr="00044D6A" w:rsidRDefault="00044D6A" w:rsidP="00044D6A">
      <w:pPr>
        <w:jc w:val="center"/>
        <w:rPr>
          <w:b/>
          <w:bCs/>
          <w:lang w:val="el-GR"/>
        </w:rPr>
      </w:pPr>
      <w:bookmarkStart w:id="0" w:name="_GoBack"/>
      <w:bookmarkEnd w:id="0"/>
      <w:r w:rsidRPr="00044D6A">
        <w:rPr>
          <w:b/>
          <w:bCs/>
          <w:lang w:val="el-GR"/>
        </w:rPr>
        <w:t xml:space="preserve">ΣΗΜΑΝΤΙΚΗ </w:t>
      </w:r>
      <w:r w:rsidR="007659C8">
        <w:rPr>
          <w:b/>
          <w:bCs/>
          <w:lang w:val="el-GR"/>
        </w:rPr>
        <w:t>ΕΝΗΜΕΡΩΣΗ</w:t>
      </w:r>
    </w:p>
    <w:p w:rsidR="0093618A" w:rsidRDefault="00044D6A">
      <w:pPr>
        <w:rPr>
          <w:b/>
          <w:bCs/>
          <w:lang w:val="el-GR"/>
        </w:rPr>
      </w:pPr>
      <w:r>
        <w:rPr>
          <w:b/>
          <w:bCs/>
          <w:lang w:val="el-GR"/>
        </w:rPr>
        <w:t>Σ</w:t>
      </w:r>
      <w:r w:rsidRPr="00044D6A">
        <w:rPr>
          <w:b/>
          <w:bCs/>
          <w:lang w:val="el-GR"/>
        </w:rPr>
        <w:t>ημαντικές διατάξεις για το δικηγορικό σώμα</w:t>
      </w:r>
      <w:r>
        <w:rPr>
          <w:b/>
          <w:bCs/>
          <w:lang w:val="el-GR"/>
        </w:rPr>
        <w:t xml:space="preserve"> στο ν</w:t>
      </w:r>
      <w:r w:rsidRPr="00044D6A">
        <w:rPr>
          <w:b/>
          <w:bCs/>
          <w:lang w:val="el-GR"/>
        </w:rPr>
        <w:t>έο νομοσχέδιο του Υπουργείου Οικονομικών</w:t>
      </w:r>
      <w:r w:rsidR="00F853AC">
        <w:rPr>
          <w:b/>
          <w:bCs/>
          <w:lang w:val="el-GR"/>
        </w:rPr>
        <w:t>: μείωση προκαταβολής φόρου – εξασφάλιση αμοιβής δικηγόρων που συμμετέχουν ως σύμβουλοι στις αιτήσεις δανειοληπτών μέσω της νέας ηλεκτρονικής πλατφόρμας</w:t>
      </w:r>
    </w:p>
    <w:p w:rsidR="00044D6A" w:rsidRDefault="00044D6A">
      <w:pPr>
        <w:rPr>
          <w:b/>
          <w:bCs/>
          <w:lang w:val="el-GR"/>
        </w:rPr>
      </w:pPr>
    </w:p>
    <w:p w:rsidR="00044D6A" w:rsidRDefault="00044D6A" w:rsidP="0087515C">
      <w:pPr>
        <w:rPr>
          <w:lang w:val="el-GR"/>
        </w:rPr>
      </w:pPr>
      <w:r>
        <w:rPr>
          <w:lang w:val="el-GR"/>
        </w:rPr>
        <w:t>Κατατέθηκε στη Βουλή το νέο νομοσχέδιο του Υπουργείου Οικονομικών σχετικά με τις φ</w:t>
      </w:r>
      <w:r w:rsidRPr="00044D6A">
        <w:rPr>
          <w:lang w:val="el-GR"/>
        </w:rPr>
        <w:t>ορολογικές παρεμβάσεις για την ενίσχυση της αναπτυξιακής διαδικασίας της ελληνικής οικονομίας</w:t>
      </w:r>
      <w:r w:rsidR="007659C8">
        <w:rPr>
          <w:lang w:val="el-GR"/>
        </w:rPr>
        <w:t xml:space="preserve"> </w:t>
      </w:r>
      <w:r>
        <w:rPr>
          <w:lang w:val="el-GR"/>
        </w:rPr>
        <w:t xml:space="preserve">και τη </w:t>
      </w:r>
      <w:r w:rsidRPr="00044D6A">
        <w:rPr>
          <w:lang w:val="el-GR"/>
        </w:rPr>
        <w:t>συνεισφορά Δημοσίου για την αποπληρωμή δανείων πληγέντων δανειοληπτών λόγω των δυσμενών συνεπειών της νόσου COVID-19</w:t>
      </w:r>
      <w:r>
        <w:rPr>
          <w:lang w:val="el-GR"/>
        </w:rPr>
        <w:t xml:space="preserve">. Στο νομοσχέδιο περιέχονται </w:t>
      </w:r>
      <w:r w:rsidR="0087515C">
        <w:rPr>
          <w:lang w:val="el-GR"/>
        </w:rPr>
        <w:t xml:space="preserve">σημαντικές </w:t>
      </w:r>
      <w:r>
        <w:rPr>
          <w:lang w:val="el-GR"/>
        </w:rPr>
        <w:t>ρυθμίσεις για τη μείωση της προκαταβολής φόρου και την κάλυψη από τα πιστωτικά ιδρύματα της αμοιβής των δικηγόρων που συμμετέχουν  ως σύμβουλοι στη σύνταξη και υποβολή αίτησης των δανειοληπτών</w:t>
      </w:r>
      <w:r w:rsidR="0087515C">
        <w:rPr>
          <w:lang w:val="el-GR"/>
        </w:rPr>
        <w:t xml:space="preserve"> </w:t>
      </w:r>
      <w:r w:rsidR="0087515C" w:rsidRPr="0087515C">
        <w:rPr>
          <w:lang w:val="el-GR"/>
        </w:rPr>
        <w:t>για</w:t>
      </w:r>
      <w:r w:rsidR="0087515C">
        <w:rPr>
          <w:lang w:val="el-GR"/>
        </w:rPr>
        <w:t xml:space="preserve"> </w:t>
      </w:r>
      <w:r w:rsidR="0087515C" w:rsidRPr="0087515C">
        <w:rPr>
          <w:lang w:val="el-GR"/>
        </w:rPr>
        <w:t>την αποπληρωμή των δανείων προς χρηματοδοτικούς φορείς που εξασφαλίζονται με εμπράγματη ασφάλεια στην κύρια κατοικία του οφειλέτη</w:t>
      </w:r>
      <w:r>
        <w:rPr>
          <w:lang w:val="el-GR"/>
        </w:rPr>
        <w:t xml:space="preserve">. Ειδικότερα: </w:t>
      </w:r>
    </w:p>
    <w:p w:rsidR="00044D6A" w:rsidRDefault="00044D6A">
      <w:pPr>
        <w:rPr>
          <w:lang w:val="el-GR"/>
        </w:rPr>
      </w:pPr>
    </w:p>
    <w:p w:rsidR="00044D6A" w:rsidRDefault="00044D6A" w:rsidP="00044D6A">
      <w:pPr>
        <w:rPr>
          <w:b/>
          <w:bCs/>
          <w:u w:val="single"/>
          <w:lang w:val="el-GR"/>
        </w:rPr>
      </w:pPr>
      <w:r w:rsidRPr="00044D6A">
        <w:rPr>
          <w:b/>
          <w:bCs/>
          <w:u w:val="single"/>
          <w:lang w:val="el-GR"/>
        </w:rPr>
        <w:t>Α. Μείωση προκαταβολής φόρου</w:t>
      </w:r>
      <w:r w:rsidRPr="00044D6A">
        <w:rPr>
          <w:rFonts w:ascii="Calibri" w:eastAsia="Times New Roman" w:hAnsi="Calibri" w:cs="Calibri"/>
          <w:b/>
          <w:bCs/>
          <w:sz w:val="22"/>
          <w:lang w:val="el-GR" w:eastAsia="el-GR"/>
        </w:rPr>
        <w:t xml:space="preserve"> </w:t>
      </w:r>
      <w:r w:rsidRPr="00044D6A">
        <w:rPr>
          <w:b/>
          <w:bCs/>
          <w:u w:val="single"/>
          <w:lang w:val="el-GR"/>
        </w:rPr>
        <w:t xml:space="preserve">εισοδήματος φορολογικού́ έτους 2019 </w:t>
      </w:r>
    </w:p>
    <w:p w:rsidR="00044D6A" w:rsidRPr="00044D6A" w:rsidRDefault="00044D6A" w:rsidP="00044D6A">
      <w:pPr>
        <w:rPr>
          <w:lang w:val="el-GR"/>
        </w:rPr>
      </w:pPr>
    </w:p>
    <w:p w:rsidR="00044D6A" w:rsidRDefault="00044D6A" w:rsidP="00044D6A">
      <w:pPr>
        <w:rPr>
          <w:lang w:val="el-GR"/>
        </w:rPr>
      </w:pPr>
      <w:r>
        <w:rPr>
          <w:lang w:val="el-GR"/>
        </w:rPr>
        <w:t>Γ</w:t>
      </w:r>
      <w:r w:rsidRPr="00044D6A">
        <w:rPr>
          <w:lang w:val="el-GR"/>
        </w:rPr>
        <w:t>ια το φορολογικό έτος 2019, το ποσό προκαταβολής φόρου εισοδήματος μειώνεται ανάλογα με το ποσοστό μείωσης του κύκλου εργασιών που δηλώνεται για σκοπούς Φόρου Προστιθέμενης Αξίας (ΦΠΑ) (κωδικός 312 δήλωσης ΦΠΑ) του πρώτου (1ου) εξαμήνου του 2020 έναντι του πρώτου</w:t>
      </w:r>
      <w:r w:rsidR="0087515C">
        <w:rPr>
          <w:lang w:val="el-GR"/>
        </w:rPr>
        <w:t xml:space="preserve"> </w:t>
      </w:r>
      <w:r w:rsidRPr="00044D6A">
        <w:rPr>
          <w:lang w:val="el-GR"/>
        </w:rPr>
        <w:t>(1ου) εξαμήνου του 2019, ως εξής:</w:t>
      </w:r>
    </w:p>
    <w:p w:rsidR="00044D6A" w:rsidRDefault="00044D6A" w:rsidP="00044D6A">
      <w:pPr>
        <w:rPr>
          <w:lang w:val="el-GR"/>
        </w:rPr>
      </w:pPr>
    </w:p>
    <w:tbl>
      <w:tblPr>
        <w:tblStyle w:val="a3"/>
        <w:tblW w:w="0" w:type="auto"/>
        <w:tblLook w:val="04A0" w:firstRow="1" w:lastRow="0" w:firstColumn="1" w:lastColumn="0" w:noHBand="0" w:noVBand="1"/>
      </w:tblPr>
      <w:tblGrid>
        <w:gridCol w:w="4145"/>
        <w:gridCol w:w="4145"/>
      </w:tblGrid>
      <w:tr w:rsidR="00044D6A" w:rsidRPr="0087515C" w:rsidTr="00044D6A">
        <w:tc>
          <w:tcPr>
            <w:tcW w:w="4145" w:type="dxa"/>
          </w:tcPr>
          <w:p w:rsidR="00044D6A" w:rsidRPr="0087515C" w:rsidRDefault="00044D6A" w:rsidP="00044D6A">
            <w:pPr>
              <w:rPr>
                <w:b/>
                <w:bCs/>
                <w:lang w:val="el-GR"/>
              </w:rPr>
            </w:pPr>
            <w:r w:rsidRPr="0087515C">
              <w:rPr>
                <w:b/>
                <w:bCs/>
                <w:lang w:val="el-GR"/>
              </w:rPr>
              <w:t xml:space="preserve">  Μείωση του κύκλου εργασιών ΦΠΑ το 1ο εξάμηνο 2020 έναντι του 1ου εξαμήνου 2019:</w:t>
            </w:r>
          </w:p>
        </w:tc>
        <w:tc>
          <w:tcPr>
            <w:tcW w:w="4145" w:type="dxa"/>
          </w:tcPr>
          <w:p w:rsidR="00044D6A" w:rsidRPr="0087515C" w:rsidRDefault="00044D6A" w:rsidP="00044D6A">
            <w:pPr>
              <w:rPr>
                <w:b/>
                <w:bCs/>
                <w:lang w:val="el-GR"/>
              </w:rPr>
            </w:pPr>
            <w:r w:rsidRPr="0087515C">
              <w:rPr>
                <w:b/>
                <w:bCs/>
                <w:lang w:val="el-GR"/>
              </w:rPr>
              <w:t>Μείωση προκαταβολής φόρου</w:t>
            </w:r>
          </w:p>
          <w:p w:rsidR="00044D6A" w:rsidRPr="0087515C" w:rsidRDefault="00044D6A" w:rsidP="00044D6A">
            <w:pPr>
              <w:rPr>
                <w:b/>
                <w:bCs/>
                <w:lang w:val="el-GR"/>
              </w:rPr>
            </w:pPr>
            <w:r w:rsidRPr="0087515C">
              <w:rPr>
                <w:b/>
                <w:bCs/>
                <w:lang w:val="el-GR"/>
              </w:rPr>
              <w:t>εισοδήματος</w:t>
            </w:r>
          </w:p>
        </w:tc>
      </w:tr>
      <w:tr w:rsidR="00044D6A" w:rsidTr="00044D6A">
        <w:tc>
          <w:tcPr>
            <w:tcW w:w="4145" w:type="dxa"/>
          </w:tcPr>
          <w:p w:rsidR="00044D6A" w:rsidRDefault="00044D6A" w:rsidP="00044D6A">
            <w:pPr>
              <w:rPr>
                <w:lang w:val="el-GR"/>
              </w:rPr>
            </w:pPr>
            <w:r w:rsidRPr="00044D6A">
              <w:rPr>
                <w:lang w:val="el-GR"/>
              </w:rPr>
              <w:lastRenderedPageBreak/>
              <w:t>≥ 5% έως και 1</w:t>
            </w:r>
            <w:r>
              <w:rPr>
                <w:lang w:val="el-GR"/>
              </w:rPr>
              <w:t>5%</w:t>
            </w:r>
          </w:p>
        </w:tc>
        <w:tc>
          <w:tcPr>
            <w:tcW w:w="4145" w:type="dxa"/>
          </w:tcPr>
          <w:p w:rsidR="00044D6A" w:rsidRDefault="00044D6A" w:rsidP="00044D6A">
            <w:pPr>
              <w:rPr>
                <w:lang w:val="el-GR"/>
              </w:rPr>
            </w:pPr>
            <w:r>
              <w:rPr>
                <w:lang w:val="el-GR"/>
              </w:rPr>
              <w:t>30%</w:t>
            </w:r>
          </w:p>
        </w:tc>
      </w:tr>
      <w:tr w:rsidR="00044D6A" w:rsidTr="00044D6A">
        <w:tc>
          <w:tcPr>
            <w:tcW w:w="4145" w:type="dxa"/>
          </w:tcPr>
          <w:p w:rsidR="00044D6A" w:rsidRDefault="00044D6A" w:rsidP="00044D6A">
            <w:pPr>
              <w:spacing w:after="0" w:line="240" w:lineRule="auto"/>
              <w:jc w:val="left"/>
              <w:rPr>
                <w:szCs w:val="24"/>
                <w:lang w:val="el-GR"/>
              </w:rPr>
            </w:pPr>
            <w:r>
              <w:fldChar w:fldCharType="begin"/>
            </w:r>
            <w:r w:rsidR="00A701A7">
              <w:instrText xml:space="preserve"> INCLUDEPICTURE "C:\\var\\folders\\ff\\_gnx8fs14_38m68_2b3ns5tm0000gn\\T\\com.microsoft.Word\\WebArchiveCopyPasteTempFiles\\page28image4133982448" \* MERGEFORMAT </w:instrText>
            </w:r>
            <w:r>
              <w:fldChar w:fldCharType="separate"/>
            </w:r>
            <w:r>
              <w:rPr>
                <w:noProof/>
                <w:lang w:val="el-GR" w:eastAsia="el-GR"/>
              </w:rPr>
              <w:drawing>
                <wp:inline distT="0" distB="0" distL="0" distR="0">
                  <wp:extent cx="1146175" cy="161925"/>
                  <wp:effectExtent l="0" t="0" r="0" b="0"/>
                  <wp:docPr id="10" name="Εικόνα 10" descr="page28image413398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28image41339824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161925"/>
                          </a:xfrm>
                          <a:prstGeom prst="rect">
                            <a:avLst/>
                          </a:prstGeom>
                          <a:noFill/>
                          <a:ln>
                            <a:noFill/>
                          </a:ln>
                        </pic:spPr>
                      </pic:pic>
                    </a:graphicData>
                  </a:graphic>
                </wp:inline>
              </w:drawing>
            </w:r>
            <w:r>
              <w:fldChar w:fldCharType="end"/>
            </w:r>
          </w:p>
          <w:p w:rsidR="00044D6A" w:rsidRPr="00A67873" w:rsidRDefault="00044D6A" w:rsidP="00A67873">
            <w:pPr>
              <w:pStyle w:val="Web"/>
            </w:pPr>
            <w:r>
              <w:rPr>
                <w:rFonts w:ascii="Calibri" w:hAnsi="Calibri" w:cs="Calibri"/>
                <w:sz w:val="22"/>
                <w:szCs w:val="22"/>
              </w:rPr>
              <w:t xml:space="preserve">15,01% έως και 25% </w:t>
            </w:r>
          </w:p>
        </w:tc>
        <w:tc>
          <w:tcPr>
            <w:tcW w:w="4145" w:type="dxa"/>
          </w:tcPr>
          <w:p w:rsidR="00044D6A" w:rsidRDefault="00044D6A" w:rsidP="00044D6A">
            <w:pPr>
              <w:rPr>
                <w:lang w:val="el-GR"/>
              </w:rPr>
            </w:pPr>
            <w:r>
              <w:rPr>
                <w:lang w:val="el-GR"/>
              </w:rPr>
              <w:t>50%</w:t>
            </w:r>
          </w:p>
        </w:tc>
      </w:tr>
      <w:tr w:rsidR="00044D6A" w:rsidTr="00044D6A">
        <w:tc>
          <w:tcPr>
            <w:tcW w:w="4145" w:type="dxa"/>
          </w:tcPr>
          <w:p w:rsidR="00044D6A" w:rsidRDefault="00A67873" w:rsidP="00044D6A">
            <w:pPr>
              <w:rPr>
                <w:lang w:val="el-GR"/>
              </w:rPr>
            </w:pPr>
            <w:r w:rsidRPr="00044D6A">
              <w:rPr>
                <w:lang w:val="el-GR"/>
              </w:rPr>
              <w:t>25,01% έως και 35%</w:t>
            </w:r>
          </w:p>
        </w:tc>
        <w:tc>
          <w:tcPr>
            <w:tcW w:w="4145" w:type="dxa"/>
          </w:tcPr>
          <w:p w:rsidR="00044D6A" w:rsidRDefault="00A67873" w:rsidP="00044D6A">
            <w:pPr>
              <w:rPr>
                <w:lang w:val="el-GR"/>
              </w:rPr>
            </w:pPr>
            <w:r>
              <w:rPr>
                <w:lang w:val="el-GR"/>
              </w:rPr>
              <w:t>70%</w:t>
            </w:r>
          </w:p>
        </w:tc>
      </w:tr>
      <w:tr w:rsidR="00044D6A" w:rsidTr="00044D6A">
        <w:tc>
          <w:tcPr>
            <w:tcW w:w="4145" w:type="dxa"/>
          </w:tcPr>
          <w:p w:rsidR="00044D6A" w:rsidRDefault="00A67873" w:rsidP="00044D6A">
            <w:pPr>
              <w:rPr>
                <w:lang w:val="el-GR"/>
              </w:rPr>
            </w:pPr>
            <w:r>
              <w:rPr>
                <w:lang w:val="el-GR"/>
              </w:rPr>
              <w:t>&gt;35%</w:t>
            </w:r>
          </w:p>
        </w:tc>
        <w:tc>
          <w:tcPr>
            <w:tcW w:w="4145" w:type="dxa"/>
          </w:tcPr>
          <w:p w:rsidR="00044D6A" w:rsidRDefault="00A67873" w:rsidP="00044D6A">
            <w:pPr>
              <w:rPr>
                <w:lang w:val="el-GR"/>
              </w:rPr>
            </w:pPr>
            <w:r>
              <w:rPr>
                <w:lang w:val="el-GR"/>
              </w:rPr>
              <w:t>100%</w:t>
            </w:r>
          </w:p>
        </w:tc>
      </w:tr>
    </w:tbl>
    <w:p w:rsidR="00044D6A" w:rsidRDefault="00044D6A">
      <w:pPr>
        <w:rPr>
          <w:b/>
          <w:bCs/>
          <w:u w:val="single"/>
          <w:lang w:val="el-GR"/>
        </w:rPr>
      </w:pPr>
    </w:p>
    <w:p w:rsidR="00A67873" w:rsidRPr="00A67873" w:rsidRDefault="00A67873" w:rsidP="00A67873">
      <w:pPr>
        <w:rPr>
          <w:lang w:val="el-GR"/>
        </w:rPr>
      </w:pPr>
      <w:r w:rsidRPr="00A67873">
        <w:rPr>
          <w:lang w:val="el-GR"/>
        </w:rPr>
        <w:t xml:space="preserve">Για τον ανωτέρω υπολογισμό λαμβάνονται υπόψη: 1) Οι δηλώσεις ΦΠΑ του πρώτου (1ου) εξαμήνου 2019 που έχουν υποβληθεί μέχρι τη δημοσίευση του </w:t>
      </w:r>
      <w:r w:rsidR="0087515C">
        <w:rPr>
          <w:lang w:val="el-GR"/>
        </w:rPr>
        <w:t>νόμου</w:t>
      </w:r>
      <w:r w:rsidRPr="00A67873">
        <w:rPr>
          <w:lang w:val="el-GR"/>
        </w:rPr>
        <w:t xml:space="preserve"> και 2) οι δηλώσεις ΦΠΑ του πρώτου (1ο) εξαμήνου του 2020, ως εξής:</w:t>
      </w:r>
    </w:p>
    <w:p w:rsidR="00A67873" w:rsidRPr="00A67873" w:rsidRDefault="00A67873" w:rsidP="00A67873">
      <w:pPr>
        <w:rPr>
          <w:lang w:val="el-GR"/>
        </w:rPr>
      </w:pPr>
      <w:r w:rsidRPr="00A67873">
        <w:rPr>
          <w:lang w:val="el-GR"/>
        </w:rPr>
        <w:t xml:space="preserve">α) για τηρούντες απλογραφικά λογιστικά αρχεία, η δήλωση ΦΠΑ του πρώτου (1ου) τριμήνου που έχει υποβληθεί μέχρι τη δημοσίευση του </w:t>
      </w:r>
      <w:r w:rsidR="0087515C">
        <w:rPr>
          <w:lang w:val="el-GR"/>
        </w:rPr>
        <w:t>νόμου</w:t>
      </w:r>
      <w:r w:rsidRPr="00A67873">
        <w:rPr>
          <w:lang w:val="el-GR"/>
        </w:rPr>
        <w:t xml:space="preserve"> και η δήλωση ΦΠΑ του δευτέρου (2ου) τριμήνου που υποβάλλεται μέχρι τις 31.7.2020 ή</w:t>
      </w:r>
    </w:p>
    <w:p w:rsidR="00044D6A" w:rsidRDefault="00A67873" w:rsidP="00A67873">
      <w:pPr>
        <w:rPr>
          <w:lang w:val="el-GR"/>
        </w:rPr>
      </w:pPr>
      <w:r w:rsidRPr="00A67873">
        <w:rPr>
          <w:lang w:val="el-GR"/>
        </w:rPr>
        <w:t xml:space="preserve">β)  </w:t>
      </w:r>
      <w:r>
        <w:rPr>
          <w:lang w:val="el-GR"/>
        </w:rPr>
        <w:t xml:space="preserve">για τηρούντες διπλογραφικά </w:t>
      </w:r>
      <w:r w:rsidRPr="00A67873">
        <w:rPr>
          <w:lang w:val="el-GR"/>
        </w:rPr>
        <w:t xml:space="preserve"> λογιστικά αρχεία, οι δηλώσεις ΦΠΑ Ιανουαρίου - Μαΐου που </w:t>
      </w:r>
      <w:r>
        <w:rPr>
          <w:lang w:val="el-GR"/>
        </w:rPr>
        <w:t>έχουν</w:t>
      </w:r>
      <w:r w:rsidR="0087515C">
        <w:rPr>
          <w:lang w:val="el-GR"/>
        </w:rPr>
        <w:t xml:space="preserve"> υποβληθεί</w:t>
      </w:r>
      <w:r>
        <w:rPr>
          <w:lang w:val="el-GR"/>
        </w:rPr>
        <w:t xml:space="preserve"> </w:t>
      </w:r>
      <w:r w:rsidRPr="00A67873">
        <w:rPr>
          <w:lang w:val="el-GR"/>
        </w:rPr>
        <w:t xml:space="preserve">μέχρι τη δημοσίευση του </w:t>
      </w:r>
      <w:r w:rsidR="0087515C">
        <w:rPr>
          <w:lang w:val="el-GR"/>
        </w:rPr>
        <w:t>νόμου</w:t>
      </w:r>
      <w:r w:rsidR="0087515C" w:rsidRPr="00A67873">
        <w:rPr>
          <w:lang w:val="el-GR"/>
        </w:rPr>
        <w:t xml:space="preserve"> </w:t>
      </w:r>
      <w:r w:rsidRPr="00A67873">
        <w:rPr>
          <w:lang w:val="el-GR"/>
        </w:rPr>
        <w:t>και η δήλωση ΦΠΑ Ιουνίου που</w:t>
      </w:r>
      <w:r w:rsidR="0087515C">
        <w:rPr>
          <w:lang w:val="el-GR"/>
        </w:rPr>
        <w:t xml:space="preserve"> </w:t>
      </w:r>
      <w:r w:rsidRPr="00A67873">
        <w:rPr>
          <w:lang w:val="el-GR"/>
        </w:rPr>
        <w:t>υποβάλλεται μέχρι τις 31.7.2020</w:t>
      </w:r>
      <w:r w:rsidR="0087515C">
        <w:rPr>
          <w:lang w:val="el-GR"/>
        </w:rPr>
        <w:t>.</w:t>
      </w:r>
    </w:p>
    <w:p w:rsidR="0087515C" w:rsidRDefault="0087515C" w:rsidP="00A67873">
      <w:pPr>
        <w:rPr>
          <w:lang w:val="el-GR"/>
        </w:rPr>
      </w:pPr>
    </w:p>
    <w:p w:rsidR="0087515C" w:rsidRPr="00A67873" w:rsidRDefault="0087515C" w:rsidP="00A67873">
      <w:pPr>
        <w:rPr>
          <w:lang w:val="el-GR"/>
        </w:rPr>
      </w:pPr>
      <w:r>
        <w:rPr>
          <w:lang w:val="el-GR"/>
        </w:rPr>
        <w:t>Βλ. αναλυτικά τη σχετική ρύθμιση στο άρθρο 18 του νομοσχεδίου, που επισυνάπτεται</w:t>
      </w:r>
    </w:p>
    <w:p w:rsidR="00044D6A" w:rsidRDefault="00044D6A">
      <w:pPr>
        <w:rPr>
          <w:b/>
          <w:bCs/>
          <w:lang w:val="el-GR"/>
        </w:rPr>
      </w:pPr>
    </w:p>
    <w:p w:rsidR="0087515C" w:rsidRDefault="0087515C" w:rsidP="0087515C">
      <w:pPr>
        <w:rPr>
          <w:lang w:val="el-GR"/>
        </w:rPr>
      </w:pPr>
      <w:r>
        <w:rPr>
          <w:b/>
          <w:bCs/>
          <w:lang w:val="el-GR"/>
        </w:rPr>
        <w:t xml:space="preserve">Β. Συμμετοχή δικηγόρων στην υποβολή αιτήσεων δανειοληπτών και κάλυψη της αμοιβής τους </w:t>
      </w:r>
      <w:r w:rsidRPr="0087515C">
        <w:rPr>
          <w:b/>
          <w:bCs/>
          <w:lang w:val="el-GR"/>
        </w:rPr>
        <w:t>από τα πιστωτικά ιδρύματα</w:t>
      </w:r>
      <w:r>
        <w:rPr>
          <w:lang w:val="el-GR"/>
        </w:rPr>
        <w:t xml:space="preserve"> </w:t>
      </w:r>
    </w:p>
    <w:p w:rsidR="0087515C" w:rsidRDefault="0087515C" w:rsidP="0087515C">
      <w:pPr>
        <w:rPr>
          <w:lang w:val="el-GR"/>
        </w:rPr>
      </w:pPr>
    </w:p>
    <w:p w:rsidR="00F853AC" w:rsidRDefault="00F853AC" w:rsidP="00F853AC">
      <w:pPr>
        <w:rPr>
          <w:lang w:val="el-GR"/>
        </w:rPr>
      </w:pPr>
      <w:r>
        <w:rPr>
          <w:lang w:val="el-GR"/>
        </w:rPr>
        <w:t>Μετά από παρέμβαση του δικηγορικού σώματος, εξασφαλίστηκε ελάχιστη αμοιβή, καλυπτόμενη από τις πιστώτριες τράπεζες, για τους δικηγόρους που αναλαμβάνουν για λογαριασμό δανειοληπτών τη σύνταξη και υποβολή αίτησης για τη συνεισφορά του</w:t>
      </w:r>
      <w:r w:rsidRPr="00F853AC">
        <w:rPr>
          <w:lang w:val="el-GR"/>
        </w:rPr>
        <w:t xml:space="preserve"> </w:t>
      </w:r>
      <w:r>
        <w:rPr>
          <w:lang w:val="el-GR"/>
        </w:rPr>
        <w:t>Δημοσίου</w:t>
      </w:r>
      <w:r w:rsidRPr="00F853AC">
        <w:rPr>
          <w:lang w:val="el-GR"/>
        </w:rPr>
        <w:t xml:space="preserve"> στις δόσεις για</w:t>
      </w:r>
      <w:r>
        <w:rPr>
          <w:lang w:val="el-GR"/>
        </w:rPr>
        <w:t xml:space="preserve"> τ</w:t>
      </w:r>
      <w:r w:rsidRPr="00F853AC">
        <w:rPr>
          <w:lang w:val="el-GR"/>
        </w:rPr>
        <w:t>ην αποπληρωμή των πάσης φύσεως δανείων φυσικών ή νομικών προσώπων</w:t>
      </w:r>
      <w:r>
        <w:rPr>
          <w:lang w:val="el-GR"/>
        </w:rPr>
        <w:t xml:space="preserve">, που έχουν </w:t>
      </w:r>
      <w:r w:rsidRPr="00F853AC">
        <w:rPr>
          <w:lang w:val="el-GR"/>
        </w:rPr>
        <w:t xml:space="preserve">αποδεδειγμένα πληγεί και για τον λόγο αυτό </w:t>
      </w:r>
      <w:r w:rsidRPr="00F853AC">
        <w:rPr>
          <w:lang w:val="el-GR"/>
        </w:rPr>
        <w:lastRenderedPageBreak/>
        <w:t>ενταχθεί στα ληφθέντα μέτρα στο πλαίσιο του κορωνοϊού COVID-19 προς χρηματοδοτικούς φορείς</w:t>
      </w:r>
      <w:r>
        <w:rPr>
          <w:lang w:val="el-GR"/>
        </w:rPr>
        <w:t>,</w:t>
      </w:r>
      <w:r w:rsidRPr="00F853AC">
        <w:rPr>
          <w:lang w:val="el-GR"/>
        </w:rPr>
        <w:t xml:space="preserve"> </w:t>
      </w:r>
      <w:r>
        <w:rPr>
          <w:lang w:val="el-GR"/>
        </w:rPr>
        <w:t>τα οποία</w:t>
      </w:r>
      <w:r w:rsidRPr="00F853AC">
        <w:rPr>
          <w:lang w:val="el-GR"/>
        </w:rPr>
        <w:t xml:space="preserve"> εξασφαλίζονται με εμπράγματη ασφάλεια στην κύρια κατοικία του οφειλέτη.</w:t>
      </w:r>
    </w:p>
    <w:p w:rsidR="0087515C" w:rsidRPr="00F853AC" w:rsidRDefault="00F853AC" w:rsidP="0087515C">
      <w:pPr>
        <w:rPr>
          <w:b/>
          <w:bCs/>
          <w:lang w:val="el-GR"/>
        </w:rPr>
      </w:pPr>
      <w:r>
        <w:rPr>
          <w:lang w:val="el-GR"/>
        </w:rPr>
        <w:t>Συγκεκριμένα, ο</w:t>
      </w:r>
      <w:r w:rsidR="0087515C">
        <w:rPr>
          <w:lang w:val="el-GR"/>
        </w:rPr>
        <w:t xml:space="preserve">ι δικηγόροι που συμμετέχουν  ως σύμβουλοι στη σύνταξη και υποβολή αίτησης των </w:t>
      </w:r>
      <w:r>
        <w:rPr>
          <w:lang w:val="el-GR"/>
        </w:rPr>
        <w:t xml:space="preserve">ανωτέρω </w:t>
      </w:r>
      <w:r w:rsidR="0087515C">
        <w:rPr>
          <w:lang w:val="el-GR"/>
        </w:rPr>
        <w:t xml:space="preserve">δανειοληπτών, </w:t>
      </w:r>
      <w:r w:rsidR="0087515C" w:rsidRPr="0087515C">
        <w:rPr>
          <w:lang w:val="el-GR"/>
        </w:rPr>
        <w:t>για</w:t>
      </w:r>
      <w:r w:rsidR="0087515C">
        <w:rPr>
          <w:lang w:val="el-GR"/>
        </w:rPr>
        <w:t xml:space="preserve"> </w:t>
      </w:r>
      <w:r w:rsidR="0087515C" w:rsidRPr="0087515C">
        <w:rPr>
          <w:lang w:val="el-GR"/>
        </w:rPr>
        <w:t>την αποπληρωμή των</w:t>
      </w:r>
      <w:r w:rsidR="0087515C">
        <w:rPr>
          <w:lang w:val="el-GR"/>
        </w:rPr>
        <w:t xml:space="preserve"> </w:t>
      </w:r>
      <w:r>
        <w:rPr>
          <w:lang w:val="el-GR"/>
        </w:rPr>
        <w:t>εξασφαλισμένων</w:t>
      </w:r>
      <w:r w:rsidR="0087515C">
        <w:rPr>
          <w:lang w:val="el-GR"/>
        </w:rPr>
        <w:t xml:space="preserve"> με εμπράγματη ασφάλεια στην κύρια κατοικία</w:t>
      </w:r>
      <w:r w:rsidR="0087515C" w:rsidRPr="0087515C">
        <w:rPr>
          <w:lang w:val="el-GR"/>
        </w:rPr>
        <w:t xml:space="preserve"> δανείων</w:t>
      </w:r>
      <w:r>
        <w:rPr>
          <w:lang w:val="el-GR"/>
        </w:rPr>
        <w:t xml:space="preserve"> τους, με τη συμμετοχή του Δημοσίου</w:t>
      </w:r>
      <w:r w:rsidR="0087515C">
        <w:rPr>
          <w:lang w:val="el-GR"/>
        </w:rPr>
        <w:t xml:space="preserve">, η οποία  υποβάλλεται μέσω της ηλεκτρονικής </w:t>
      </w:r>
      <w:r>
        <w:rPr>
          <w:lang w:val="el-GR"/>
        </w:rPr>
        <w:t>πλατφόρμας</w:t>
      </w:r>
      <w:r w:rsidR="0087515C">
        <w:rPr>
          <w:lang w:val="el-GR"/>
        </w:rPr>
        <w:t xml:space="preserve"> της </w:t>
      </w:r>
      <w:r w:rsidR="0087515C" w:rsidRPr="0087515C">
        <w:rPr>
          <w:lang w:val="el-GR"/>
        </w:rPr>
        <w:t>Γενική</w:t>
      </w:r>
      <w:r w:rsidR="0087515C">
        <w:rPr>
          <w:lang w:val="el-GR"/>
        </w:rPr>
        <w:t>ς</w:t>
      </w:r>
      <w:r w:rsidR="0087515C" w:rsidRPr="0087515C">
        <w:rPr>
          <w:lang w:val="el-GR"/>
        </w:rPr>
        <w:t xml:space="preserve"> Γραμματεία</w:t>
      </w:r>
      <w:r w:rsidR="0087515C">
        <w:rPr>
          <w:lang w:val="el-GR"/>
        </w:rPr>
        <w:t>ς</w:t>
      </w:r>
      <w:r w:rsidR="0087515C" w:rsidRPr="0087515C">
        <w:rPr>
          <w:lang w:val="el-GR"/>
        </w:rPr>
        <w:t xml:space="preserve"> Πληροφοριακών Συστημάτων και Δημόσιας Διοίκησης (Γ.Γ.Π.Σ.Δ.Δ) </w:t>
      </w:r>
      <w:r w:rsidR="0087515C">
        <w:rPr>
          <w:lang w:val="el-GR"/>
        </w:rPr>
        <w:t>και της</w:t>
      </w:r>
      <w:r w:rsidR="0087515C" w:rsidRPr="0087515C">
        <w:rPr>
          <w:lang w:val="el-GR"/>
        </w:rPr>
        <w:t xml:space="preserve"> Ειδική</w:t>
      </w:r>
      <w:r w:rsidR="0087515C">
        <w:rPr>
          <w:lang w:val="el-GR"/>
        </w:rPr>
        <w:t>ς</w:t>
      </w:r>
      <w:r w:rsidR="0087515C" w:rsidRPr="0087515C">
        <w:rPr>
          <w:lang w:val="el-GR"/>
        </w:rPr>
        <w:t xml:space="preserve"> Γραμματεία</w:t>
      </w:r>
      <w:r>
        <w:rPr>
          <w:lang w:val="el-GR"/>
        </w:rPr>
        <w:t>ς</w:t>
      </w:r>
      <w:r w:rsidR="0087515C" w:rsidRPr="0087515C">
        <w:rPr>
          <w:lang w:val="el-GR"/>
        </w:rPr>
        <w:t xml:space="preserve"> Διαχείρισης Ιδιωτικού Χρέους (Ε.Γ.Δ.Ι.Χ.)</w:t>
      </w:r>
      <w:r w:rsidR="0087515C">
        <w:rPr>
          <w:lang w:val="el-GR"/>
        </w:rPr>
        <w:t xml:space="preserve">, </w:t>
      </w:r>
      <w:r w:rsidR="0087515C" w:rsidRPr="00F853AC">
        <w:rPr>
          <w:b/>
          <w:bCs/>
          <w:lang w:val="el-GR"/>
        </w:rPr>
        <w:t>δικαιούνται αμοιβής ύψους διακοσίων πενήντα (250) ευρώ ανά χρηματοδοτικό φορέα</w:t>
      </w:r>
      <w:r>
        <w:rPr>
          <w:b/>
          <w:bCs/>
          <w:lang w:val="el-GR"/>
        </w:rPr>
        <w:t xml:space="preserve">. </w:t>
      </w:r>
    </w:p>
    <w:p w:rsidR="0087515C" w:rsidRDefault="0087515C" w:rsidP="0087515C">
      <w:pPr>
        <w:rPr>
          <w:lang w:val="el-GR"/>
        </w:rPr>
      </w:pPr>
    </w:p>
    <w:p w:rsidR="00F853AC" w:rsidRPr="00A67873" w:rsidRDefault="00F853AC" w:rsidP="00F853AC">
      <w:pPr>
        <w:rPr>
          <w:lang w:val="el-GR"/>
        </w:rPr>
      </w:pPr>
      <w:r>
        <w:rPr>
          <w:lang w:val="el-GR"/>
        </w:rPr>
        <w:t>Βλ. αναλυτικά τη σχετική ρύθμιση στο άρθρο 75 παρ. 12 του νομοσχεδίου, που επισυνάπτεται.</w:t>
      </w:r>
    </w:p>
    <w:p w:rsidR="00F853AC" w:rsidRDefault="00F853AC" w:rsidP="0087515C">
      <w:pPr>
        <w:rPr>
          <w:lang w:val="el-GR"/>
        </w:rPr>
      </w:pPr>
    </w:p>
    <w:p w:rsidR="0087515C" w:rsidRPr="00044D6A" w:rsidRDefault="0087515C">
      <w:pPr>
        <w:rPr>
          <w:b/>
          <w:bCs/>
          <w:lang w:val="el-GR"/>
        </w:rPr>
      </w:pPr>
    </w:p>
    <w:sectPr w:rsidR="0087515C" w:rsidRPr="00044D6A"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6A"/>
    <w:rsid w:val="00044D6A"/>
    <w:rsid w:val="002A6BE6"/>
    <w:rsid w:val="006E3D4C"/>
    <w:rsid w:val="007659C8"/>
    <w:rsid w:val="0087515C"/>
    <w:rsid w:val="008D3F27"/>
    <w:rsid w:val="0099245A"/>
    <w:rsid w:val="00A67873"/>
    <w:rsid w:val="00A701A7"/>
    <w:rsid w:val="00AC4D3F"/>
    <w:rsid w:val="00BD0DA0"/>
    <w:rsid w:val="00D513E4"/>
    <w:rsid w:val="00D93C58"/>
    <w:rsid w:val="00E37AA2"/>
    <w:rsid w:val="00F85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1CEE9-9132-4443-B129-B948FC3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C58"/>
    <w:pPr>
      <w:spacing w:after="160" w:line="360" w:lineRule="auto"/>
      <w:jc w:val="both"/>
    </w:pPr>
    <w:rPr>
      <w:szCs w:val="2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4D6A"/>
    <w:rPr>
      <w:rFonts w:ascii="Times New Roman" w:hAnsi="Times New Roman" w:cs="Times New Roman"/>
      <w:szCs w:val="24"/>
    </w:rPr>
  </w:style>
  <w:style w:type="table" w:styleId="a3">
    <w:name w:val="Table Grid"/>
    <w:basedOn w:val="a1"/>
    <w:uiPriority w:val="39"/>
    <w:rsid w:val="0004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27719">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sChild>
            <w:div w:id="464587337">
              <w:marLeft w:val="0"/>
              <w:marRight w:val="0"/>
              <w:marTop w:val="0"/>
              <w:marBottom w:val="0"/>
              <w:divBdr>
                <w:top w:val="none" w:sz="0" w:space="0" w:color="auto"/>
                <w:left w:val="none" w:sz="0" w:space="0" w:color="auto"/>
                <w:bottom w:val="none" w:sz="0" w:space="0" w:color="auto"/>
                <w:right w:val="none" w:sz="0" w:space="0" w:color="auto"/>
              </w:divBdr>
              <w:divsChild>
                <w:div w:id="2035228968">
                  <w:marLeft w:val="0"/>
                  <w:marRight w:val="0"/>
                  <w:marTop w:val="0"/>
                  <w:marBottom w:val="0"/>
                  <w:divBdr>
                    <w:top w:val="none" w:sz="0" w:space="0" w:color="auto"/>
                    <w:left w:val="none" w:sz="0" w:space="0" w:color="auto"/>
                    <w:bottom w:val="none" w:sz="0" w:space="0" w:color="auto"/>
                    <w:right w:val="none" w:sz="0" w:space="0" w:color="auto"/>
                  </w:divBdr>
                </w:div>
              </w:divsChild>
            </w:div>
            <w:div w:id="833649467">
              <w:marLeft w:val="0"/>
              <w:marRight w:val="0"/>
              <w:marTop w:val="0"/>
              <w:marBottom w:val="0"/>
              <w:divBdr>
                <w:top w:val="none" w:sz="0" w:space="0" w:color="auto"/>
                <w:left w:val="none" w:sz="0" w:space="0" w:color="auto"/>
                <w:bottom w:val="none" w:sz="0" w:space="0" w:color="auto"/>
                <w:right w:val="none" w:sz="0" w:space="0" w:color="auto"/>
              </w:divBdr>
              <w:divsChild>
                <w:div w:id="3425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6123">
      <w:bodyDiv w:val="1"/>
      <w:marLeft w:val="0"/>
      <w:marRight w:val="0"/>
      <w:marTop w:val="0"/>
      <w:marBottom w:val="0"/>
      <w:divBdr>
        <w:top w:val="none" w:sz="0" w:space="0" w:color="auto"/>
        <w:left w:val="none" w:sz="0" w:space="0" w:color="auto"/>
        <w:bottom w:val="none" w:sz="0" w:space="0" w:color="auto"/>
        <w:right w:val="none" w:sz="0" w:space="0" w:color="auto"/>
      </w:divBdr>
      <w:divsChild>
        <w:div w:id="921839426">
          <w:marLeft w:val="0"/>
          <w:marRight w:val="0"/>
          <w:marTop w:val="0"/>
          <w:marBottom w:val="0"/>
          <w:divBdr>
            <w:top w:val="none" w:sz="0" w:space="0" w:color="auto"/>
            <w:left w:val="none" w:sz="0" w:space="0" w:color="auto"/>
            <w:bottom w:val="none" w:sz="0" w:space="0" w:color="auto"/>
            <w:right w:val="none" w:sz="0" w:space="0" w:color="auto"/>
          </w:divBdr>
          <w:divsChild>
            <w:div w:id="704983508">
              <w:marLeft w:val="0"/>
              <w:marRight w:val="0"/>
              <w:marTop w:val="0"/>
              <w:marBottom w:val="0"/>
              <w:divBdr>
                <w:top w:val="none" w:sz="0" w:space="0" w:color="auto"/>
                <w:left w:val="none" w:sz="0" w:space="0" w:color="auto"/>
                <w:bottom w:val="none" w:sz="0" w:space="0" w:color="auto"/>
                <w:right w:val="none" w:sz="0" w:space="0" w:color="auto"/>
              </w:divBdr>
              <w:divsChild>
                <w:div w:id="8033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4552">
      <w:bodyDiv w:val="1"/>
      <w:marLeft w:val="0"/>
      <w:marRight w:val="0"/>
      <w:marTop w:val="0"/>
      <w:marBottom w:val="0"/>
      <w:divBdr>
        <w:top w:val="none" w:sz="0" w:space="0" w:color="auto"/>
        <w:left w:val="none" w:sz="0" w:space="0" w:color="auto"/>
        <w:bottom w:val="none" w:sz="0" w:space="0" w:color="auto"/>
        <w:right w:val="none" w:sz="0" w:space="0" w:color="auto"/>
      </w:divBdr>
      <w:divsChild>
        <w:div w:id="1533806991">
          <w:marLeft w:val="0"/>
          <w:marRight w:val="0"/>
          <w:marTop w:val="0"/>
          <w:marBottom w:val="0"/>
          <w:divBdr>
            <w:top w:val="none" w:sz="0" w:space="0" w:color="auto"/>
            <w:left w:val="none" w:sz="0" w:space="0" w:color="auto"/>
            <w:bottom w:val="none" w:sz="0" w:space="0" w:color="auto"/>
            <w:right w:val="none" w:sz="0" w:space="0" w:color="auto"/>
          </w:divBdr>
          <w:divsChild>
            <w:div w:id="126779083">
              <w:marLeft w:val="0"/>
              <w:marRight w:val="0"/>
              <w:marTop w:val="0"/>
              <w:marBottom w:val="0"/>
              <w:divBdr>
                <w:top w:val="none" w:sz="0" w:space="0" w:color="auto"/>
                <w:left w:val="none" w:sz="0" w:space="0" w:color="auto"/>
                <w:bottom w:val="none" w:sz="0" w:space="0" w:color="auto"/>
                <w:right w:val="none" w:sz="0" w:space="0" w:color="auto"/>
              </w:divBdr>
              <w:divsChild>
                <w:div w:id="4086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75597">
      <w:bodyDiv w:val="1"/>
      <w:marLeft w:val="0"/>
      <w:marRight w:val="0"/>
      <w:marTop w:val="0"/>
      <w:marBottom w:val="0"/>
      <w:divBdr>
        <w:top w:val="none" w:sz="0" w:space="0" w:color="auto"/>
        <w:left w:val="none" w:sz="0" w:space="0" w:color="auto"/>
        <w:bottom w:val="none" w:sz="0" w:space="0" w:color="auto"/>
        <w:right w:val="none" w:sz="0" w:space="0" w:color="auto"/>
      </w:divBdr>
      <w:divsChild>
        <w:div w:id="548952539">
          <w:marLeft w:val="0"/>
          <w:marRight w:val="0"/>
          <w:marTop w:val="0"/>
          <w:marBottom w:val="0"/>
          <w:divBdr>
            <w:top w:val="none" w:sz="0" w:space="0" w:color="auto"/>
            <w:left w:val="none" w:sz="0" w:space="0" w:color="auto"/>
            <w:bottom w:val="none" w:sz="0" w:space="0" w:color="auto"/>
            <w:right w:val="none" w:sz="0" w:space="0" w:color="auto"/>
          </w:divBdr>
          <w:divsChild>
            <w:div w:id="1049571846">
              <w:marLeft w:val="0"/>
              <w:marRight w:val="0"/>
              <w:marTop w:val="0"/>
              <w:marBottom w:val="0"/>
              <w:divBdr>
                <w:top w:val="none" w:sz="0" w:space="0" w:color="auto"/>
                <w:left w:val="none" w:sz="0" w:space="0" w:color="auto"/>
                <w:bottom w:val="none" w:sz="0" w:space="0" w:color="auto"/>
                <w:right w:val="none" w:sz="0" w:space="0" w:color="auto"/>
              </w:divBdr>
              <w:divsChild>
                <w:div w:id="748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35248">
      <w:bodyDiv w:val="1"/>
      <w:marLeft w:val="0"/>
      <w:marRight w:val="0"/>
      <w:marTop w:val="0"/>
      <w:marBottom w:val="0"/>
      <w:divBdr>
        <w:top w:val="none" w:sz="0" w:space="0" w:color="auto"/>
        <w:left w:val="none" w:sz="0" w:space="0" w:color="auto"/>
        <w:bottom w:val="none" w:sz="0" w:space="0" w:color="auto"/>
        <w:right w:val="none" w:sz="0" w:space="0" w:color="auto"/>
      </w:divBdr>
      <w:divsChild>
        <w:div w:id="1338925361">
          <w:marLeft w:val="0"/>
          <w:marRight w:val="0"/>
          <w:marTop w:val="0"/>
          <w:marBottom w:val="0"/>
          <w:divBdr>
            <w:top w:val="none" w:sz="0" w:space="0" w:color="auto"/>
            <w:left w:val="none" w:sz="0" w:space="0" w:color="auto"/>
            <w:bottom w:val="none" w:sz="0" w:space="0" w:color="auto"/>
            <w:right w:val="none" w:sz="0" w:space="0" w:color="auto"/>
          </w:divBdr>
          <w:divsChild>
            <w:div w:id="1084574857">
              <w:marLeft w:val="0"/>
              <w:marRight w:val="0"/>
              <w:marTop w:val="0"/>
              <w:marBottom w:val="0"/>
              <w:divBdr>
                <w:top w:val="none" w:sz="0" w:space="0" w:color="auto"/>
                <w:left w:val="none" w:sz="0" w:space="0" w:color="auto"/>
                <w:bottom w:val="none" w:sz="0" w:space="0" w:color="auto"/>
                <w:right w:val="none" w:sz="0" w:space="0" w:color="auto"/>
              </w:divBdr>
              <w:divsChild>
                <w:div w:id="1063069277">
                  <w:marLeft w:val="0"/>
                  <w:marRight w:val="0"/>
                  <w:marTop w:val="0"/>
                  <w:marBottom w:val="0"/>
                  <w:divBdr>
                    <w:top w:val="none" w:sz="0" w:space="0" w:color="auto"/>
                    <w:left w:val="none" w:sz="0" w:space="0" w:color="auto"/>
                    <w:bottom w:val="none" w:sz="0" w:space="0" w:color="auto"/>
                    <w:right w:val="none" w:sz="0" w:space="0" w:color="auto"/>
                  </w:divBdr>
                </w:div>
              </w:divsChild>
            </w:div>
            <w:div w:id="921187065">
              <w:marLeft w:val="0"/>
              <w:marRight w:val="0"/>
              <w:marTop w:val="0"/>
              <w:marBottom w:val="0"/>
              <w:divBdr>
                <w:top w:val="none" w:sz="0" w:space="0" w:color="auto"/>
                <w:left w:val="none" w:sz="0" w:space="0" w:color="auto"/>
                <w:bottom w:val="none" w:sz="0" w:space="0" w:color="auto"/>
                <w:right w:val="none" w:sz="0" w:space="0" w:color="auto"/>
              </w:divBdr>
              <w:divsChild>
                <w:div w:id="1023632112">
                  <w:marLeft w:val="0"/>
                  <w:marRight w:val="0"/>
                  <w:marTop w:val="0"/>
                  <w:marBottom w:val="0"/>
                  <w:divBdr>
                    <w:top w:val="none" w:sz="0" w:space="0" w:color="auto"/>
                    <w:left w:val="none" w:sz="0" w:space="0" w:color="auto"/>
                    <w:bottom w:val="none" w:sz="0" w:space="0" w:color="auto"/>
                    <w:right w:val="none" w:sz="0" w:space="0" w:color="auto"/>
                  </w:divBdr>
                </w:div>
              </w:divsChild>
            </w:div>
            <w:div w:id="1786192210">
              <w:marLeft w:val="0"/>
              <w:marRight w:val="0"/>
              <w:marTop w:val="0"/>
              <w:marBottom w:val="0"/>
              <w:divBdr>
                <w:top w:val="none" w:sz="0" w:space="0" w:color="auto"/>
                <w:left w:val="none" w:sz="0" w:space="0" w:color="auto"/>
                <w:bottom w:val="none" w:sz="0" w:space="0" w:color="auto"/>
                <w:right w:val="none" w:sz="0" w:space="0" w:color="auto"/>
              </w:divBdr>
              <w:divsChild>
                <w:div w:id="204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1437">
      <w:bodyDiv w:val="1"/>
      <w:marLeft w:val="0"/>
      <w:marRight w:val="0"/>
      <w:marTop w:val="0"/>
      <w:marBottom w:val="0"/>
      <w:divBdr>
        <w:top w:val="none" w:sz="0" w:space="0" w:color="auto"/>
        <w:left w:val="none" w:sz="0" w:space="0" w:color="auto"/>
        <w:bottom w:val="none" w:sz="0" w:space="0" w:color="auto"/>
        <w:right w:val="none" w:sz="0" w:space="0" w:color="auto"/>
      </w:divBdr>
      <w:divsChild>
        <w:div w:id="234899864">
          <w:marLeft w:val="0"/>
          <w:marRight w:val="0"/>
          <w:marTop w:val="0"/>
          <w:marBottom w:val="0"/>
          <w:divBdr>
            <w:top w:val="none" w:sz="0" w:space="0" w:color="auto"/>
            <w:left w:val="none" w:sz="0" w:space="0" w:color="auto"/>
            <w:bottom w:val="none" w:sz="0" w:space="0" w:color="auto"/>
            <w:right w:val="none" w:sz="0" w:space="0" w:color="auto"/>
          </w:divBdr>
          <w:divsChild>
            <w:div w:id="1736859618">
              <w:marLeft w:val="0"/>
              <w:marRight w:val="0"/>
              <w:marTop w:val="0"/>
              <w:marBottom w:val="0"/>
              <w:divBdr>
                <w:top w:val="none" w:sz="0" w:space="0" w:color="auto"/>
                <w:left w:val="none" w:sz="0" w:space="0" w:color="auto"/>
                <w:bottom w:val="none" w:sz="0" w:space="0" w:color="auto"/>
                <w:right w:val="none" w:sz="0" w:space="0" w:color="auto"/>
              </w:divBdr>
              <w:divsChild>
                <w:div w:id="14116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0406">
      <w:bodyDiv w:val="1"/>
      <w:marLeft w:val="0"/>
      <w:marRight w:val="0"/>
      <w:marTop w:val="0"/>
      <w:marBottom w:val="0"/>
      <w:divBdr>
        <w:top w:val="none" w:sz="0" w:space="0" w:color="auto"/>
        <w:left w:val="none" w:sz="0" w:space="0" w:color="auto"/>
        <w:bottom w:val="none" w:sz="0" w:space="0" w:color="auto"/>
        <w:right w:val="none" w:sz="0" w:space="0" w:color="auto"/>
      </w:divBdr>
      <w:divsChild>
        <w:div w:id="795415486">
          <w:marLeft w:val="0"/>
          <w:marRight w:val="0"/>
          <w:marTop w:val="0"/>
          <w:marBottom w:val="0"/>
          <w:divBdr>
            <w:top w:val="none" w:sz="0" w:space="0" w:color="auto"/>
            <w:left w:val="none" w:sz="0" w:space="0" w:color="auto"/>
            <w:bottom w:val="none" w:sz="0" w:space="0" w:color="auto"/>
            <w:right w:val="none" w:sz="0" w:space="0" w:color="auto"/>
          </w:divBdr>
          <w:divsChild>
            <w:div w:id="469520334">
              <w:marLeft w:val="0"/>
              <w:marRight w:val="0"/>
              <w:marTop w:val="0"/>
              <w:marBottom w:val="0"/>
              <w:divBdr>
                <w:top w:val="none" w:sz="0" w:space="0" w:color="auto"/>
                <w:left w:val="none" w:sz="0" w:space="0" w:color="auto"/>
                <w:bottom w:val="none" w:sz="0" w:space="0" w:color="auto"/>
                <w:right w:val="none" w:sz="0" w:space="0" w:color="auto"/>
              </w:divBdr>
              <w:divsChild>
                <w:div w:id="358509539">
                  <w:marLeft w:val="0"/>
                  <w:marRight w:val="0"/>
                  <w:marTop w:val="0"/>
                  <w:marBottom w:val="0"/>
                  <w:divBdr>
                    <w:top w:val="none" w:sz="0" w:space="0" w:color="auto"/>
                    <w:left w:val="none" w:sz="0" w:space="0" w:color="auto"/>
                    <w:bottom w:val="none" w:sz="0" w:space="0" w:color="auto"/>
                    <w:right w:val="none" w:sz="0" w:space="0" w:color="auto"/>
                  </w:divBdr>
                </w:div>
              </w:divsChild>
            </w:div>
            <w:div w:id="853349081">
              <w:marLeft w:val="0"/>
              <w:marRight w:val="0"/>
              <w:marTop w:val="0"/>
              <w:marBottom w:val="0"/>
              <w:divBdr>
                <w:top w:val="none" w:sz="0" w:space="0" w:color="auto"/>
                <w:left w:val="none" w:sz="0" w:space="0" w:color="auto"/>
                <w:bottom w:val="none" w:sz="0" w:space="0" w:color="auto"/>
                <w:right w:val="none" w:sz="0" w:space="0" w:color="auto"/>
              </w:divBdr>
              <w:divsChild>
                <w:div w:id="11006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3228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User</cp:lastModifiedBy>
  <cp:revision>2</cp:revision>
  <dcterms:created xsi:type="dcterms:W3CDTF">2020-07-18T17:39:00Z</dcterms:created>
  <dcterms:modified xsi:type="dcterms:W3CDTF">2020-07-18T17:39:00Z</dcterms:modified>
</cp:coreProperties>
</file>