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A2F1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2D3AE1E0" w14:textId="5A445A5D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345EDE">
        <w:rPr>
          <w:b/>
          <w:bCs/>
          <w:i/>
          <w:iCs/>
          <w:sz w:val="28"/>
        </w:rPr>
        <w:t>0</w:t>
      </w:r>
      <w:r w:rsidR="009E4EBC">
        <w:rPr>
          <w:b/>
          <w:bCs/>
          <w:i/>
          <w:iCs/>
          <w:sz w:val="28"/>
        </w:rPr>
        <w:t>4</w:t>
      </w:r>
      <w:r w:rsidR="00345EDE">
        <w:rPr>
          <w:b/>
          <w:bCs/>
          <w:i/>
          <w:iCs/>
          <w:sz w:val="28"/>
        </w:rPr>
        <w:t>-12</w:t>
      </w:r>
      <w:r w:rsidRPr="0009207E">
        <w:rPr>
          <w:b/>
          <w:bCs/>
          <w:i/>
          <w:iCs/>
          <w:sz w:val="28"/>
        </w:rPr>
        <w:t>-20</w:t>
      </w:r>
      <w:r w:rsidR="00F91BE7">
        <w:rPr>
          <w:b/>
          <w:bCs/>
          <w:i/>
          <w:iCs/>
          <w:sz w:val="28"/>
        </w:rPr>
        <w:t>20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46F81E8C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486CA04A" w14:textId="77777777" w:rsidR="00BF5726" w:rsidRDefault="0084591D" w:rsidP="00BF5726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</w:p>
    <w:p w14:paraId="37B8C856" w14:textId="791816F2" w:rsidR="00CD2A5F" w:rsidRPr="0069782A" w:rsidRDefault="005961F5" w:rsidP="00BF5726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9352A7">
        <w:rPr>
          <w:bCs/>
          <w:iCs/>
          <w:u w:val="single"/>
        </w:rPr>
        <w:t xml:space="preserve">ΓΙΑ </w:t>
      </w:r>
      <w:r w:rsidR="0084591D" w:rsidRPr="009352A7">
        <w:rPr>
          <w:bCs/>
          <w:iCs/>
          <w:u w:val="single"/>
        </w:rPr>
        <w:t>ΤΟ</w:t>
      </w:r>
      <w:r w:rsidRPr="009352A7">
        <w:rPr>
          <w:bCs/>
          <w:iCs/>
          <w:u w:val="single"/>
        </w:rPr>
        <w:t>Ν</w:t>
      </w:r>
      <w:r w:rsidR="0084591D" w:rsidRPr="009352A7">
        <w:rPr>
          <w:bCs/>
          <w:iCs/>
          <w:u w:val="single"/>
        </w:rPr>
        <w:t xml:space="preserve"> ΕΙΔΙΚΟ ΔΙΑΝΕΜΗΤΙΚΟ ΛΟΓΑΡΙΑΣΜΟ ΝΕΩΝ ΔΙΚΗΓΟΡΩΝ</w:t>
      </w:r>
      <w:r w:rsidR="00BF5726">
        <w:rPr>
          <w:bCs/>
          <w:iCs/>
          <w:u w:val="single"/>
        </w:rPr>
        <w:t xml:space="preserve"> </w:t>
      </w:r>
      <w:r w:rsidR="00BF5726" w:rsidRPr="00BF5726">
        <w:rPr>
          <w:b/>
          <w:iCs/>
          <w:u w:val="single"/>
        </w:rPr>
        <w:t>Β΄ΕΞΑΜΗΝΟΥ</w:t>
      </w:r>
      <w:r w:rsidR="00BF5726">
        <w:rPr>
          <w:b/>
          <w:iCs/>
          <w:u w:val="single"/>
        </w:rPr>
        <w:t xml:space="preserve"> 2020</w:t>
      </w:r>
    </w:p>
    <w:p w14:paraId="11FCCD3C" w14:textId="77777777" w:rsidR="00BF5726" w:rsidRDefault="00CD2A5F" w:rsidP="00CD2A5F">
      <w:pPr>
        <w:jc w:val="both"/>
        <w:rPr>
          <w:sz w:val="28"/>
        </w:rPr>
      </w:pPr>
      <w:r>
        <w:rPr>
          <w:sz w:val="28"/>
        </w:rPr>
        <w:tab/>
      </w:r>
    </w:p>
    <w:p w14:paraId="46EA5F29" w14:textId="2C35409F" w:rsidR="00CD2A5F" w:rsidRPr="00316935" w:rsidRDefault="00CD2A5F" w:rsidP="00BF5726">
      <w:pPr>
        <w:ind w:firstLine="720"/>
        <w:jc w:val="both"/>
        <w:rPr>
          <w:b/>
          <w:bCs/>
        </w:rPr>
      </w:pPr>
      <w:r w:rsidRPr="00316935">
        <w:rPr>
          <w:b/>
          <w:bCs/>
        </w:rPr>
        <w:t xml:space="preserve">Συνάδελφε, </w:t>
      </w:r>
    </w:p>
    <w:p w14:paraId="28519285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5C6EBE00" w14:textId="77777777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CE5BAD" w:rsidRPr="00CE5BAD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CE5BAD" w:rsidRPr="00CE5BAD">
        <w:rPr>
          <w:b/>
          <w:bCs/>
          <w:u w:val="single"/>
        </w:rPr>
        <w:t>4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CE5BAD" w:rsidRPr="00CE5BAD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CE5BAD" w:rsidRPr="00CE5BAD">
        <w:rPr>
          <w:b/>
          <w:bCs/>
          <w:u w:val="single"/>
        </w:rPr>
        <w:t>12</w:t>
      </w:r>
      <w:r w:rsidR="00FE1235" w:rsidRPr="00F13342">
        <w:rPr>
          <w:b/>
          <w:bCs/>
          <w:u w:val="single"/>
        </w:rPr>
        <w:t>/</w:t>
      </w:r>
      <w:r w:rsidR="00F91BE7">
        <w:rPr>
          <w:b/>
          <w:bCs/>
          <w:u w:val="single"/>
        </w:rPr>
        <w:t>2020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1F7BDCFE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6DD9D1B0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584E4FD6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4F59AB2B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3E087613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65A68E7E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41B55E93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65FA0F55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452B193A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2173AEBF" w14:textId="77777777"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1CF9062B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186E6B60" w14:textId="05BD3E13"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 xml:space="preserve">δεν έχουν υποβάλλει ετήσια 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δήλωση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69782A" w:rsidRPr="0069782A">
        <w:rPr>
          <w:b/>
          <w:i/>
          <w:sz w:val="22"/>
          <w:szCs w:val="22"/>
        </w:rPr>
        <w:t xml:space="preserve">, θα γίνεται ταυτόχρονα συμψηφισμός ΕΔΛΝΔ με το οφειλόμενο ποσό της ετήσιας </w:t>
      </w:r>
      <w:r w:rsidR="00BF5726">
        <w:rPr>
          <w:b/>
          <w:i/>
          <w:sz w:val="22"/>
          <w:szCs w:val="22"/>
        </w:rPr>
        <w:t>συνδρομής</w:t>
      </w:r>
      <w:r w:rsidR="00345EDE">
        <w:rPr>
          <w:b/>
          <w:i/>
          <w:sz w:val="22"/>
          <w:szCs w:val="22"/>
        </w:rPr>
        <w:t xml:space="preserve">, </w:t>
      </w:r>
      <w:r w:rsidR="00345EDE" w:rsidRPr="00BF5726">
        <w:rPr>
          <w:b/>
          <w:i/>
          <w:sz w:val="22"/>
          <w:szCs w:val="22"/>
        </w:rPr>
        <w:t>το οποίο και θα προσδιορισθεί μετά τη λήψη απόφασης από το επερχόμενο Δ.Σ.,</w:t>
      </w:r>
      <w:r w:rsidR="0069782A" w:rsidRPr="0069782A">
        <w:rPr>
          <w:b/>
          <w:i/>
          <w:sz w:val="22"/>
          <w:szCs w:val="22"/>
        </w:rPr>
        <w:t xml:space="preserve"> το </w:t>
      </w:r>
      <w:r w:rsidR="00345EDE" w:rsidRPr="0069782A">
        <w:rPr>
          <w:b/>
          <w:i/>
          <w:sz w:val="22"/>
          <w:szCs w:val="22"/>
        </w:rPr>
        <w:t>υπολειπό</w:t>
      </w:r>
      <w:r w:rsidR="00345EDE">
        <w:rPr>
          <w:b/>
          <w:i/>
          <w:sz w:val="22"/>
          <w:szCs w:val="22"/>
        </w:rPr>
        <w:t>μενο</w:t>
      </w:r>
      <w:r w:rsidR="0069782A" w:rsidRPr="0069782A">
        <w:rPr>
          <w:b/>
          <w:i/>
          <w:sz w:val="22"/>
          <w:szCs w:val="22"/>
        </w:rPr>
        <w:t xml:space="preserve"> θα πιστ</w:t>
      </w:r>
      <w:r w:rsidR="00345EDE">
        <w:rPr>
          <w:b/>
          <w:i/>
          <w:sz w:val="22"/>
          <w:szCs w:val="22"/>
        </w:rPr>
        <w:t>ωθεί</w:t>
      </w:r>
      <w:r w:rsidR="0069782A" w:rsidRPr="0069782A">
        <w:rPr>
          <w:b/>
          <w:i/>
          <w:sz w:val="22"/>
          <w:szCs w:val="22"/>
        </w:rPr>
        <w:t xml:space="preserve"> στον τραπεζικό τους λογαριασμό</w:t>
      </w:r>
      <w:r w:rsidR="0069782A">
        <w:rPr>
          <w:b/>
        </w:rPr>
        <w:t>.</w:t>
      </w:r>
    </w:p>
    <w:p w14:paraId="5F1A0DDA" w14:textId="77777777" w:rsidR="0069782A" w:rsidRPr="0069782A" w:rsidRDefault="0069782A" w:rsidP="00CD2A5F">
      <w:pPr>
        <w:jc w:val="both"/>
        <w:rPr>
          <w:b/>
        </w:rPr>
      </w:pPr>
    </w:p>
    <w:p w14:paraId="05924515" w14:textId="4F8A30B6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>από</w:t>
      </w:r>
      <w:r w:rsidR="00F91BE7">
        <w:rPr>
          <w:b/>
          <w:u w:val="single"/>
        </w:rPr>
        <w:t xml:space="preserve">  </w:t>
      </w:r>
      <w:r w:rsidR="00CE5BAD" w:rsidRPr="00CE5BAD">
        <w:rPr>
          <w:b/>
          <w:u w:val="single"/>
        </w:rPr>
        <w:t>0</w:t>
      </w:r>
      <w:r w:rsidR="00345EDE">
        <w:rPr>
          <w:b/>
          <w:u w:val="single"/>
        </w:rPr>
        <w:t>7</w:t>
      </w:r>
      <w:r w:rsidR="000125BF" w:rsidRPr="00316935">
        <w:rPr>
          <w:b/>
          <w:u w:val="single"/>
        </w:rPr>
        <w:t xml:space="preserve"> </w:t>
      </w:r>
      <w:r w:rsidR="00F13342" w:rsidRPr="00F13342">
        <w:rPr>
          <w:b/>
          <w:u w:val="single"/>
        </w:rPr>
        <w:t>-</w:t>
      </w:r>
      <w:r w:rsidR="00CE5BAD" w:rsidRPr="00CE5BAD">
        <w:rPr>
          <w:b/>
          <w:u w:val="single"/>
        </w:rPr>
        <w:t>12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F91BE7">
        <w:rPr>
          <w:b/>
          <w:u w:val="single"/>
        </w:rPr>
        <w:t>20</w:t>
      </w:r>
      <w:r w:rsidR="000125BF" w:rsidRPr="00316935">
        <w:rPr>
          <w:b/>
          <w:u w:val="single"/>
        </w:rPr>
        <w:t xml:space="preserve"> </w:t>
      </w:r>
      <w:r w:rsidR="009130A5">
        <w:rPr>
          <w:b/>
          <w:u w:val="single"/>
        </w:rPr>
        <w:t xml:space="preserve">και ώρα 15:00μμ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CE5BAD" w:rsidRPr="00CE5BAD">
        <w:rPr>
          <w:b/>
          <w:u w:val="single"/>
        </w:rPr>
        <w:t>1</w:t>
      </w:r>
      <w:r w:rsidR="00345EDE">
        <w:rPr>
          <w:b/>
          <w:u w:val="single"/>
        </w:rPr>
        <w:t>4</w:t>
      </w:r>
      <w:r w:rsidR="00F13342" w:rsidRPr="00F13342">
        <w:rPr>
          <w:b/>
          <w:u w:val="single"/>
        </w:rPr>
        <w:t>-</w:t>
      </w:r>
      <w:r w:rsidR="00CE5BAD" w:rsidRPr="00CE5BAD">
        <w:rPr>
          <w:b/>
          <w:u w:val="single"/>
        </w:rPr>
        <w:t>12</w:t>
      </w:r>
      <w:r w:rsidR="00F13342" w:rsidRPr="00F13342">
        <w:rPr>
          <w:b/>
          <w:u w:val="single"/>
        </w:rPr>
        <w:t>-20</w:t>
      </w:r>
      <w:r w:rsidR="00F91BE7">
        <w:rPr>
          <w:b/>
          <w:u w:val="single"/>
        </w:rPr>
        <w:t xml:space="preserve">20 </w:t>
      </w:r>
      <w:r w:rsidR="009130A5">
        <w:rPr>
          <w:b/>
          <w:u w:val="single"/>
        </w:rPr>
        <w:t xml:space="preserve">και ώρα 24:00 </w:t>
      </w:r>
      <w:r w:rsidR="00F91BE7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5770E4C9" w14:textId="77777777" w:rsidR="0069782A" w:rsidRDefault="0069782A" w:rsidP="00CD2A5F">
      <w:pPr>
        <w:jc w:val="both"/>
        <w:rPr>
          <w:b/>
          <w:u w:val="single"/>
        </w:rPr>
      </w:pPr>
    </w:p>
    <w:p w14:paraId="2105C8AA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75EFECD5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105DA7BC" w14:textId="77777777" w:rsidR="007D3FF2" w:rsidRDefault="007D3FF2" w:rsidP="00202E24">
      <w:pPr>
        <w:jc w:val="both"/>
      </w:pPr>
    </w:p>
    <w:p w14:paraId="73F8909D" w14:textId="77777777"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14:paraId="21D0D584" w14:textId="77777777" w:rsidR="00F13342" w:rsidRDefault="00F13342" w:rsidP="00AE372C">
      <w:pPr>
        <w:jc w:val="center"/>
      </w:pPr>
    </w:p>
    <w:p w14:paraId="639BF3CE" w14:textId="77777777" w:rsidR="00F13342" w:rsidRPr="00F13342" w:rsidRDefault="00F13342" w:rsidP="00AE372C">
      <w:pPr>
        <w:jc w:val="center"/>
      </w:pPr>
    </w:p>
    <w:p w14:paraId="70E51148" w14:textId="77777777"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F0A9" w14:textId="77777777" w:rsidR="00BF5001" w:rsidRDefault="00BF5001">
      <w:r>
        <w:separator/>
      </w:r>
    </w:p>
  </w:endnote>
  <w:endnote w:type="continuationSeparator" w:id="0">
    <w:p w14:paraId="3874BFF4" w14:textId="77777777" w:rsidR="00BF5001" w:rsidRDefault="00BF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DDB7" w14:textId="77777777" w:rsidR="00BF5001" w:rsidRDefault="00BF5001">
      <w:r>
        <w:separator/>
      </w:r>
    </w:p>
  </w:footnote>
  <w:footnote w:type="continuationSeparator" w:id="0">
    <w:p w14:paraId="1F37976D" w14:textId="77777777" w:rsidR="00BF5001" w:rsidRDefault="00BF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A4F1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2BB06B91" wp14:editId="2A1B5D0A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479390" w14:textId="77777777" w:rsidR="00442488" w:rsidRDefault="00442488">
    <w:pPr>
      <w:pStyle w:val="1"/>
    </w:pPr>
  </w:p>
  <w:p w14:paraId="31F49EE8" w14:textId="77777777" w:rsidR="00442488" w:rsidRDefault="00442488" w:rsidP="00F02331">
    <w:pPr>
      <w:pStyle w:val="1"/>
    </w:pPr>
  </w:p>
  <w:p w14:paraId="1080E87A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B53D8"/>
    <w:rsid w:val="000E2CF4"/>
    <w:rsid w:val="001074F3"/>
    <w:rsid w:val="0011293E"/>
    <w:rsid w:val="001178E7"/>
    <w:rsid w:val="001261EC"/>
    <w:rsid w:val="001344C5"/>
    <w:rsid w:val="00150E19"/>
    <w:rsid w:val="00177854"/>
    <w:rsid w:val="00177924"/>
    <w:rsid w:val="001B092D"/>
    <w:rsid w:val="001C709C"/>
    <w:rsid w:val="001D09B2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40FC7"/>
    <w:rsid w:val="00345EDE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D439C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1E"/>
    <w:rsid w:val="0069782A"/>
    <w:rsid w:val="006A0DA1"/>
    <w:rsid w:val="006B3570"/>
    <w:rsid w:val="006B41C0"/>
    <w:rsid w:val="006D6E24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21D34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86E91"/>
    <w:rsid w:val="00890BC3"/>
    <w:rsid w:val="008A0C8D"/>
    <w:rsid w:val="008A3ECA"/>
    <w:rsid w:val="008B5383"/>
    <w:rsid w:val="008B5F83"/>
    <w:rsid w:val="008E6411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54DD"/>
    <w:rsid w:val="009A08F3"/>
    <w:rsid w:val="009A56FD"/>
    <w:rsid w:val="009C361D"/>
    <w:rsid w:val="009E4EBC"/>
    <w:rsid w:val="009F26C5"/>
    <w:rsid w:val="009F54F6"/>
    <w:rsid w:val="00A1188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001"/>
    <w:rsid w:val="00BF5726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64179"/>
    <w:rsid w:val="00C708EB"/>
    <w:rsid w:val="00C836C5"/>
    <w:rsid w:val="00C96F56"/>
    <w:rsid w:val="00CA31EC"/>
    <w:rsid w:val="00CA51E0"/>
    <w:rsid w:val="00CB1768"/>
    <w:rsid w:val="00CC5640"/>
    <w:rsid w:val="00CD0F0C"/>
    <w:rsid w:val="00CD2A5F"/>
    <w:rsid w:val="00CD3581"/>
    <w:rsid w:val="00CE5BAD"/>
    <w:rsid w:val="00D1392F"/>
    <w:rsid w:val="00D13FD0"/>
    <w:rsid w:val="00D15A73"/>
    <w:rsid w:val="00D5114A"/>
    <w:rsid w:val="00D51D88"/>
    <w:rsid w:val="00D558A4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1A4A"/>
    <w:rsid w:val="00F91BE7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29C51"/>
  <w15:docId w15:val="{4AE658B1-00CE-460F-9874-D7CF1B8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2020-12-03T13:38:00Z</cp:lastPrinted>
  <dcterms:created xsi:type="dcterms:W3CDTF">2020-12-04T15:04:00Z</dcterms:created>
  <dcterms:modified xsi:type="dcterms:W3CDTF">2020-12-04T15:04:00Z</dcterms:modified>
</cp:coreProperties>
</file>